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83E164">
      <w:pPr>
        <w:keepNext w:val="0"/>
        <w:keepLines w:val="0"/>
        <w:pageBreakBefore w:val="0"/>
        <w:widowControl/>
        <w:kinsoku/>
        <w:wordWrap/>
        <w:overflowPunct/>
        <w:topLinePunct w:val="0"/>
        <w:autoSpaceDE/>
        <w:autoSpaceDN/>
        <w:bidi w:val="0"/>
        <w:adjustRightInd/>
        <w:snapToGrid/>
        <w:spacing w:after="0" w:line="560" w:lineRule="atLeast"/>
        <w:jc w:val="left"/>
        <w:textAlignment w:val="auto"/>
        <w:rPr>
          <w:rFonts w:hint="default" w:ascii="Times New Roman" w:hAnsi="Times New Roman" w:eastAsia="方正仿宋_GBK" w:cs="Times New Roman"/>
          <w:b w:val="0"/>
          <w:bCs/>
          <w:sz w:val="32"/>
          <w:szCs w:val="32"/>
        </w:rPr>
      </w:pPr>
      <w:r>
        <w:rPr>
          <w:rFonts w:hint="default" w:ascii="Times New Roman" w:hAnsi="Times New Roman" w:eastAsia="方正仿宋_GBK" w:cs="Times New Roman"/>
          <w:b w:val="0"/>
          <w:bCs/>
          <w:sz w:val="32"/>
          <w:szCs w:val="32"/>
        </w:rPr>
        <w:t>附件2：</w:t>
      </w:r>
    </w:p>
    <w:p w14:paraId="5C4F7C74">
      <w:pPr>
        <w:keepNext w:val="0"/>
        <w:keepLines w:val="0"/>
        <w:pageBreakBefore w:val="0"/>
        <w:widowControl/>
        <w:kinsoku/>
        <w:wordWrap/>
        <w:overflowPunct/>
        <w:topLinePunct w:val="0"/>
        <w:autoSpaceDE/>
        <w:autoSpaceDN/>
        <w:bidi w:val="0"/>
        <w:adjustRightInd/>
        <w:snapToGrid/>
        <w:spacing w:after="0" w:line="560" w:lineRule="atLeast"/>
        <w:jc w:val="center"/>
        <w:textAlignment w:val="auto"/>
        <w:rPr>
          <w:rFonts w:hint="default" w:ascii="Times New Roman" w:hAnsi="Times New Roman" w:eastAsia="方正小标宋_GBK" w:cs="Times New Roman"/>
          <w:b w:val="0"/>
          <w:bCs/>
          <w:sz w:val="32"/>
          <w:szCs w:val="32"/>
        </w:rPr>
      </w:pPr>
      <w:r>
        <w:rPr>
          <w:rFonts w:hint="default" w:ascii="Times New Roman" w:hAnsi="Times New Roman" w:eastAsia="方正小标宋_GBK" w:cs="Times New Roman"/>
          <w:b w:val="0"/>
          <w:bCs/>
          <w:sz w:val="32"/>
          <w:szCs w:val="32"/>
        </w:rPr>
        <w:t>拟修订规章制度清单（共147项）</w:t>
      </w:r>
    </w:p>
    <w:p w14:paraId="6A258293">
      <w:pPr>
        <w:keepNext w:val="0"/>
        <w:keepLines w:val="0"/>
        <w:pageBreakBefore w:val="0"/>
        <w:widowControl/>
        <w:kinsoku/>
        <w:wordWrap/>
        <w:overflowPunct/>
        <w:topLinePunct w:val="0"/>
        <w:autoSpaceDE/>
        <w:autoSpaceDN/>
        <w:bidi w:val="0"/>
        <w:adjustRightInd/>
        <w:snapToGrid/>
        <w:spacing w:after="0" w:line="560" w:lineRule="atLeast"/>
        <w:jc w:val="center"/>
        <w:textAlignment w:val="auto"/>
        <w:rPr>
          <w:rFonts w:hint="default" w:ascii="Times New Roman" w:hAnsi="Times New Roman" w:eastAsia="方正仿宋_GBK" w:cs="Times New Roman"/>
          <w:b/>
          <w:sz w:val="21"/>
          <w:szCs w:val="21"/>
        </w:rPr>
      </w:pP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7"/>
        <w:gridCol w:w="5386"/>
        <w:gridCol w:w="1701"/>
        <w:gridCol w:w="1134"/>
      </w:tblGrid>
      <w:tr w14:paraId="40B68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shd w:val="clear" w:color="auto" w:fill="D9D9D9"/>
            <w:vAlign w:val="center"/>
          </w:tcPr>
          <w:p w14:paraId="634DE6E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b/>
                <w:sz w:val="21"/>
                <w:szCs w:val="21"/>
              </w:rPr>
              <w:t>序号</w:t>
            </w:r>
          </w:p>
        </w:tc>
        <w:tc>
          <w:tcPr>
            <w:tcW w:w="5386" w:type="dxa"/>
            <w:shd w:val="clear" w:color="auto" w:fill="D9D9D9"/>
            <w:vAlign w:val="center"/>
          </w:tcPr>
          <w:p w14:paraId="57D521D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b/>
                <w:sz w:val="21"/>
                <w:szCs w:val="21"/>
              </w:rPr>
              <w:t>制度名称</w:t>
            </w:r>
          </w:p>
        </w:tc>
        <w:tc>
          <w:tcPr>
            <w:tcW w:w="1701" w:type="dxa"/>
            <w:shd w:val="clear" w:color="auto" w:fill="D9D9D9"/>
            <w:vAlign w:val="center"/>
          </w:tcPr>
          <w:p w14:paraId="6D61431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b/>
                <w:sz w:val="21"/>
                <w:szCs w:val="21"/>
              </w:rPr>
              <w:t>发布文号</w:t>
            </w:r>
          </w:p>
        </w:tc>
        <w:tc>
          <w:tcPr>
            <w:tcW w:w="1134" w:type="dxa"/>
            <w:shd w:val="clear" w:color="auto" w:fill="D9D9D9"/>
            <w:vAlign w:val="center"/>
          </w:tcPr>
          <w:p w14:paraId="5450883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b/>
                <w:sz w:val="21"/>
                <w:szCs w:val="21"/>
              </w:rPr>
              <w:t>起草部门</w:t>
            </w:r>
          </w:p>
        </w:tc>
      </w:tr>
      <w:tr w14:paraId="06598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072A622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w:t>
            </w:r>
          </w:p>
        </w:tc>
        <w:tc>
          <w:tcPr>
            <w:tcW w:w="5386" w:type="dxa"/>
            <w:vAlign w:val="center"/>
          </w:tcPr>
          <w:p w14:paraId="25EF5B9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南京机电职业技术学院党支部工作条例</w:t>
            </w:r>
          </w:p>
        </w:tc>
        <w:tc>
          <w:tcPr>
            <w:tcW w:w="1701" w:type="dxa"/>
            <w:vAlign w:val="center"/>
          </w:tcPr>
          <w:p w14:paraId="73934ED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机电学院委[2009]16号</w:t>
            </w:r>
          </w:p>
        </w:tc>
        <w:tc>
          <w:tcPr>
            <w:tcW w:w="1134" w:type="dxa"/>
            <w:vAlign w:val="center"/>
          </w:tcPr>
          <w:p w14:paraId="1ED5C12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党委工作部</w:t>
            </w:r>
          </w:p>
        </w:tc>
      </w:tr>
      <w:tr w14:paraId="6A673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119FBB6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w:t>
            </w:r>
          </w:p>
        </w:tc>
        <w:tc>
          <w:tcPr>
            <w:tcW w:w="5386" w:type="dxa"/>
            <w:vAlign w:val="center"/>
          </w:tcPr>
          <w:p w14:paraId="697FD9E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南京机电职业技术学院先进基层党组织优秀共产党员和优秀党务工作者评选制度</w:t>
            </w:r>
          </w:p>
        </w:tc>
        <w:tc>
          <w:tcPr>
            <w:tcW w:w="1701" w:type="dxa"/>
            <w:vAlign w:val="center"/>
          </w:tcPr>
          <w:p w14:paraId="04BBE60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机电学院委[2009]13号</w:t>
            </w:r>
          </w:p>
        </w:tc>
        <w:tc>
          <w:tcPr>
            <w:tcW w:w="1134" w:type="dxa"/>
            <w:vAlign w:val="center"/>
          </w:tcPr>
          <w:p w14:paraId="31FA813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党委工作部</w:t>
            </w:r>
          </w:p>
        </w:tc>
      </w:tr>
      <w:tr w14:paraId="114F7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135AEA1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3</w:t>
            </w:r>
          </w:p>
        </w:tc>
        <w:tc>
          <w:tcPr>
            <w:tcW w:w="5386" w:type="dxa"/>
            <w:vAlign w:val="center"/>
          </w:tcPr>
          <w:p w14:paraId="6157DC2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南京机电职业技术学院后备干部队伍选拔培养办法（试行）</w:t>
            </w:r>
          </w:p>
        </w:tc>
        <w:tc>
          <w:tcPr>
            <w:tcW w:w="1701" w:type="dxa"/>
            <w:vAlign w:val="center"/>
          </w:tcPr>
          <w:p w14:paraId="5A6835E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机电学院委[2009]7号</w:t>
            </w:r>
          </w:p>
        </w:tc>
        <w:tc>
          <w:tcPr>
            <w:tcW w:w="1134" w:type="dxa"/>
            <w:vAlign w:val="center"/>
          </w:tcPr>
          <w:p w14:paraId="05E8F1B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党委工作部</w:t>
            </w:r>
          </w:p>
        </w:tc>
      </w:tr>
      <w:tr w14:paraId="4DEEF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2C1B8D0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4</w:t>
            </w:r>
          </w:p>
        </w:tc>
        <w:tc>
          <w:tcPr>
            <w:tcW w:w="5386" w:type="dxa"/>
            <w:vAlign w:val="center"/>
          </w:tcPr>
          <w:p w14:paraId="2D63991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南京机电职业技术学院中层干部考核办法</w:t>
            </w:r>
          </w:p>
        </w:tc>
        <w:tc>
          <w:tcPr>
            <w:tcW w:w="1701" w:type="dxa"/>
            <w:vAlign w:val="center"/>
          </w:tcPr>
          <w:p w14:paraId="3603881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机电学院委[2009]20号</w:t>
            </w:r>
          </w:p>
        </w:tc>
        <w:tc>
          <w:tcPr>
            <w:tcW w:w="1134" w:type="dxa"/>
            <w:vAlign w:val="center"/>
          </w:tcPr>
          <w:p w14:paraId="2FD96FC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党委工作部</w:t>
            </w:r>
          </w:p>
        </w:tc>
      </w:tr>
      <w:tr w14:paraId="694D9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696CB22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5</w:t>
            </w:r>
          </w:p>
        </w:tc>
        <w:tc>
          <w:tcPr>
            <w:tcW w:w="5386" w:type="dxa"/>
            <w:vAlign w:val="center"/>
          </w:tcPr>
          <w:p w14:paraId="6681894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南京机电职业技术学院中层干部管理办法</w:t>
            </w:r>
          </w:p>
        </w:tc>
        <w:tc>
          <w:tcPr>
            <w:tcW w:w="1701" w:type="dxa"/>
            <w:vAlign w:val="center"/>
          </w:tcPr>
          <w:p w14:paraId="4948CA3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机电学院委[2009]19号</w:t>
            </w:r>
          </w:p>
        </w:tc>
        <w:tc>
          <w:tcPr>
            <w:tcW w:w="1134" w:type="dxa"/>
            <w:vAlign w:val="center"/>
          </w:tcPr>
          <w:p w14:paraId="6B03629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党委工作部</w:t>
            </w:r>
          </w:p>
        </w:tc>
      </w:tr>
      <w:tr w14:paraId="46D9F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5FDB017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6</w:t>
            </w:r>
          </w:p>
        </w:tc>
        <w:tc>
          <w:tcPr>
            <w:tcW w:w="5386" w:type="dxa"/>
            <w:vAlign w:val="center"/>
          </w:tcPr>
          <w:p w14:paraId="441E75E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南京机电职业技术学院党费收缴、使用和管理办法</w:t>
            </w:r>
          </w:p>
        </w:tc>
        <w:tc>
          <w:tcPr>
            <w:tcW w:w="1701" w:type="dxa"/>
            <w:vAlign w:val="center"/>
          </w:tcPr>
          <w:p w14:paraId="1F7CE3F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南机电院委〔2017〕16号</w:t>
            </w:r>
          </w:p>
        </w:tc>
        <w:tc>
          <w:tcPr>
            <w:tcW w:w="1134" w:type="dxa"/>
            <w:vAlign w:val="center"/>
          </w:tcPr>
          <w:p w14:paraId="593806B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党委工作部</w:t>
            </w:r>
          </w:p>
        </w:tc>
      </w:tr>
      <w:tr w14:paraId="3BEB3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4FE6415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7</w:t>
            </w:r>
          </w:p>
        </w:tc>
        <w:tc>
          <w:tcPr>
            <w:tcW w:w="5386" w:type="dxa"/>
            <w:vAlign w:val="center"/>
          </w:tcPr>
          <w:p w14:paraId="0975417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南京机电职业技术学院关于加强党员干部“八小时外”监督管理实施办法（试行）</w:t>
            </w:r>
          </w:p>
        </w:tc>
        <w:tc>
          <w:tcPr>
            <w:tcW w:w="1701" w:type="dxa"/>
            <w:vAlign w:val="center"/>
          </w:tcPr>
          <w:p w14:paraId="01182F6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南机电院委〔2023〕15号</w:t>
            </w:r>
          </w:p>
        </w:tc>
        <w:tc>
          <w:tcPr>
            <w:tcW w:w="1134" w:type="dxa"/>
            <w:vAlign w:val="center"/>
          </w:tcPr>
          <w:p w14:paraId="688F4FA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党委工作部</w:t>
            </w:r>
          </w:p>
        </w:tc>
      </w:tr>
      <w:tr w14:paraId="6BA27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39882C1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8</w:t>
            </w:r>
          </w:p>
        </w:tc>
        <w:tc>
          <w:tcPr>
            <w:tcW w:w="5386" w:type="dxa"/>
            <w:vAlign w:val="center"/>
          </w:tcPr>
          <w:p w14:paraId="109A103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南京机电职业技术学院二级系部党政联席会议议事规则（试行）</w:t>
            </w:r>
          </w:p>
        </w:tc>
        <w:tc>
          <w:tcPr>
            <w:tcW w:w="1701" w:type="dxa"/>
            <w:vAlign w:val="center"/>
          </w:tcPr>
          <w:p w14:paraId="3BDF747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南机电院委〔2023〕50号</w:t>
            </w:r>
          </w:p>
        </w:tc>
        <w:tc>
          <w:tcPr>
            <w:tcW w:w="1134" w:type="dxa"/>
            <w:vAlign w:val="center"/>
          </w:tcPr>
          <w:p w14:paraId="00195B7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党委工作部</w:t>
            </w:r>
          </w:p>
        </w:tc>
      </w:tr>
      <w:tr w14:paraId="569CA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3B2F376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9</w:t>
            </w:r>
          </w:p>
        </w:tc>
        <w:tc>
          <w:tcPr>
            <w:tcW w:w="5386" w:type="dxa"/>
            <w:vAlign w:val="center"/>
          </w:tcPr>
          <w:p w14:paraId="3A8BA4C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南京机电职业技术学院“一把手”权力清单和履职行权正、负面清单及监督保障机制规定（试行）</w:t>
            </w:r>
          </w:p>
        </w:tc>
        <w:tc>
          <w:tcPr>
            <w:tcW w:w="1701" w:type="dxa"/>
            <w:vAlign w:val="center"/>
          </w:tcPr>
          <w:p w14:paraId="40DEB97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南机电院委〔2024〕35号</w:t>
            </w:r>
          </w:p>
        </w:tc>
        <w:tc>
          <w:tcPr>
            <w:tcW w:w="1134" w:type="dxa"/>
            <w:vAlign w:val="center"/>
          </w:tcPr>
          <w:p w14:paraId="607151E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党委工作部</w:t>
            </w:r>
          </w:p>
        </w:tc>
      </w:tr>
      <w:tr w14:paraId="4CAFE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7177580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10</w:t>
            </w:r>
          </w:p>
        </w:tc>
        <w:tc>
          <w:tcPr>
            <w:tcW w:w="5386" w:type="dxa"/>
            <w:vAlign w:val="center"/>
          </w:tcPr>
          <w:p w14:paraId="339FA65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南京机电职业技术学院教职工出国（境）管理办法（试行）</w:t>
            </w:r>
          </w:p>
        </w:tc>
        <w:tc>
          <w:tcPr>
            <w:tcW w:w="1701" w:type="dxa"/>
            <w:vAlign w:val="center"/>
          </w:tcPr>
          <w:p w14:paraId="7155D1F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南机电院委办〔2024〕1号</w:t>
            </w:r>
          </w:p>
        </w:tc>
        <w:tc>
          <w:tcPr>
            <w:tcW w:w="1134" w:type="dxa"/>
            <w:vAlign w:val="center"/>
          </w:tcPr>
          <w:p w14:paraId="160C67C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党委工作部</w:t>
            </w:r>
          </w:p>
        </w:tc>
      </w:tr>
      <w:tr w14:paraId="16ADD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491ADC1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11</w:t>
            </w:r>
          </w:p>
        </w:tc>
        <w:tc>
          <w:tcPr>
            <w:tcW w:w="5386" w:type="dxa"/>
            <w:vAlign w:val="center"/>
          </w:tcPr>
          <w:p w14:paraId="2A98D64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中共南京机电职业技术学院委员会意识形态工作责任制实施细则（修订）</w:t>
            </w:r>
          </w:p>
        </w:tc>
        <w:tc>
          <w:tcPr>
            <w:tcW w:w="1701" w:type="dxa"/>
            <w:vAlign w:val="center"/>
          </w:tcPr>
          <w:p w14:paraId="0BA8EC5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南机电院委〔2023〕33号</w:t>
            </w:r>
          </w:p>
        </w:tc>
        <w:tc>
          <w:tcPr>
            <w:tcW w:w="1134" w:type="dxa"/>
            <w:vAlign w:val="center"/>
          </w:tcPr>
          <w:p w14:paraId="24C1AF8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党委宣传部</w:t>
            </w:r>
          </w:p>
        </w:tc>
      </w:tr>
      <w:tr w14:paraId="29B9C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15506CA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12</w:t>
            </w:r>
          </w:p>
        </w:tc>
        <w:tc>
          <w:tcPr>
            <w:tcW w:w="5386" w:type="dxa"/>
            <w:vAlign w:val="center"/>
          </w:tcPr>
          <w:p w14:paraId="39EBF95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南京机电职业技术学院党委理论学习中心组学习制度</w:t>
            </w:r>
          </w:p>
        </w:tc>
        <w:tc>
          <w:tcPr>
            <w:tcW w:w="1701" w:type="dxa"/>
            <w:vAlign w:val="center"/>
          </w:tcPr>
          <w:p w14:paraId="3BA9E69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南机电院委〔2023〕34号</w:t>
            </w:r>
          </w:p>
        </w:tc>
        <w:tc>
          <w:tcPr>
            <w:tcW w:w="1134" w:type="dxa"/>
            <w:vAlign w:val="center"/>
          </w:tcPr>
          <w:p w14:paraId="39A5AE7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党委宣传部</w:t>
            </w:r>
          </w:p>
        </w:tc>
      </w:tr>
      <w:tr w14:paraId="27DDB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5D3EEB1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13</w:t>
            </w:r>
          </w:p>
        </w:tc>
        <w:tc>
          <w:tcPr>
            <w:tcW w:w="5386" w:type="dxa"/>
            <w:vAlign w:val="center"/>
          </w:tcPr>
          <w:p w14:paraId="7482168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中共南京机电职业技术学院委员会重大活动意识形态风险防控工作指引（试行）</w:t>
            </w:r>
          </w:p>
        </w:tc>
        <w:tc>
          <w:tcPr>
            <w:tcW w:w="1701" w:type="dxa"/>
            <w:vAlign w:val="center"/>
          </w:tcPr>
          <w:p w14:paraId="4CC4589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南机电院委〔2024〕36号</w:t>
            </w:r>
          </w:p>
        </w:tc>
        <w:tc>
          <w:tcPr>
            <w:tcW w:w="1134" w:type="dxa"/>
            <w:vAlign w:val="center"/>
          </w:tcPr>
          <w:p w14:paraId="026BF30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党委宣传部</w:t>
            </w:r>
          </w:p>
        </w:tc>
      </w:tr>
      <w:tr w14:paraId="70810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48603E8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14</w:t>
            </w:r>
          </w:p>
        </w:tc>
        <w:tc>
          <w:tcPr>
            <w:tcW w:w="5386" w:type="dxa"/>
            <w:vAlign w:val="center"/>
          </w:tcPr>
          <w:p w14:paraId="0E4303E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南京机电职业技术学院信息发布“三审三校”制度（修订）</w:t>
            </w:r>
          </w:p>
        </w:tc>
        <w:tc>
          <w:tcPr>
            <w:tcW w:w="1701" w:type="dxa"/>
            <w:vAlign w:val="center"/>
          </w:tcPr>
          <w:p w14:paraId="2731B82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南机电院宣〔2023〕1号</w:t>
            </w:r>
          </w:p>
        </w:tc>
        <w:tc>
          <w:tcPr>
            <w:tcW w:w="1134" w:type="dxa"/>
            <w:vAlign w:val="center"/>
          </w:tcPr>
          <w:p w14:paraId="62C7D20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党委宣传部</w:t>
            </w:r>
          </w:p>
        </w:tc>
      </w:tr>
      <w:tr w14:paraId="4D9BA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62E3AA8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15</w:t>
            </w:r>
          </w:p>
        </w:tc>
        <w:tc>
          <w:tcPr>
            <w:tcW w:w="5386" w:type="dxa"/>
            <w:vAlign w:val="center"/>
          </w:tcPr>
          <w:p w14:paraId="5E4E6DE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南京机电职业技术学院新闻稿件用稿制度（修订）</w:t>
            </w:r>
          </w:p>
        </w:tc>
        <w:tc>
          <w:tcPr>
            <w:tcW w:w="1701" w:type="dxa"/>
            <w:vAlign w:val="center"/>
          </w:tcPr>
          <w:p w14:paraId="263558A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南机电院宣〔2023〕2号</w:t>
            </w:r>
          </w:p>
        </w:tc>
        <w:tc>
          <w:tcPr>
            <w:tcW w:w="1134" w:type="dxa"/>
            <w:vAlign w:val="center"/>
          </w:tcPr>
          <w:p w14:paraId="4F3272C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党委宣传部</w:t>
            </w:r>
          </w:p>
        </w:tc>
      </w:tr>
      <w:tr w14:paraId="175B6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40B43E0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16</w:t>
            </w:r>
          </w:p>
        </w:tc>
        <w:tc>
          <w:tcPr>
            <w:tcW w:w="5386" w:type="dxa"/>
            <w:vAlign w:val="center"/>
          </w:tcPr>
          <w:p w14:paraId="20A1442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南京机电职业技术学院新媒体管理制度（修订）</w:t>
            </w:r>
          </w:p>
        </w:tc>
        <w:tc>
          <w:tcPr>
            <w:tcW w:w="1701" w:type="dxa"/>
            <w:vAlign w:val="center"/>
          </w:tcPr>
          <w:p w14:paraId="3E292C9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南机电院宣〔2023〕3号</w:t>
            </w:r>
          </w:p>
        </w:tc>
        <w:tc>
          <w:tcPr>
            <w:tcW w:w="1134" w:type="dxa"/>
            <w:vAlign w:val="center"/>
          </w:tcPr>
          <w:p w14:paraId="513B6D9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党委宣传部</w:t>
            </w:r>
          </w:p>
        </w:tc>
      </w:tr>
      <w:tr w14:paraId="6FD38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5116AB6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17</w:t>
            </w:r>
          </w:p>
        </w:tc>
        <w:tc>
          <w:tcPr>
            <w:tcW w:w="5386" w:type="dxa"/>
            <w:vAlign w:val="center"/>
          </w:tcPr>
          <w:p w14:paraId="73CF716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南京机电职业技术学院通讯员管理办法（暂行）</w:t>
            </w:r>
          </w:p>
        </w:tc>
        <w:tc>
          <w:tcPr>
            <w:tcW w:w="1701" w:type="dxa"/>
            <w:vAlign w:val="center"/>
          </w:tcPr>
          <w:p w14:paraId="04B0711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南机电院宣〔2023〕4号</w:t>
            </w:r>
          </w:p>
        </w:tc>
        <w:tc>
          <w:tcPr>
            <w:tcW w:w="1134" w:type="dxa"/>
            <w:vAlign w:val="center"/>
          </w:tcPr>
          <w:p w14:paraId="78D150E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党委宣传部</w:t>
            </w:r>
          </w:p>
        </w:tc>
      </w:tr>
      <w:tr w14:paraId="22548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21D0189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18</w:t>
            </w:r>
          </w:p>
        </w:tc>
        <w:tc>
          <w:tcPr>
            <w:tcW w:w="5386" w:type="dxa"/>
            <w:vAlign w:val="center"/>
          </w:tcPr>
          <w:p w14:paraId="4D3910A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南京机电职业技术学院舆情工作管理办法（暂行）</w:t>
            </w:r>
          </w:p>
        </w:tc>
        <w:tc>
          <w:tcPr>
            <w:tcW w:w="1701" w:type="dxa"/>
            <w:vAlign w:val="center"/>
          </w:tcPr>
          <w:p w14:paraId="6EDCD16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南机电院宣〔2023〕5号</w:t>
            </w:r>
          </w:p>
        </w:tc>
        <w:tc>
          <w:tcPr>
            <w:tcW w:w="1134" w:type="dxa"/>
            <w:vAlign w:val="center"/>
          </w:tcPr>
          <w:p w14:paraId="2D1D2ED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党委宣传部</w:t>
            </w:r>
          </w:p>
        </w:tc>
      </w:tr>
      <w:tr w14:paraId="79594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6F9C6CB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19</w:t>
            </w:r>
          </w:p>
        </w:tc>
        <w:tc>
          <w:tcPr>
            <w:tcW w:w="5386" w:type="dxa"/>
            <w:vAlign w:val="center"/>
          </w:tcPr>
          <w:p w14:paraId="7D4AB38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南京机电职业技术学院校报管理办法（修订）</w:t>
            </w:r>
          </w:p>
        </w:tc>
        <w:tc>
          <w:tcPr>
            <w:tcW w:w="1701" w:type="dxa"/>
            <w:vAlign w:val="center"/>
          </w:tcPr>
          <w:p w14:paraId="5CD1117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南机电院宣〔2023〕6号</w:t>
            </w:r>
          </w:p>
        </w:tc>
        <w:tc>
          <w:tcPr>
            <w:tcW w:w="1134" w:type="dxa"/>
            <w:vAlign w:val="center"/>
          </w:tcPr>
          <w:p w14:paraId="7319707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党委宣传部</w:t>
            </w:r>
          </w:p>
        </w:tc>
      </w:tr>
      <w:tr w14:paraId="3FAFC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31076F0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20</w:t>
            </w:r>
          </w:p>
        </w:tc>
        <w:tc>
          <w:tcPr>
            <w:tcW w:w="5386" w:type="dxa"/>
            <w:vAlign w:val="center"/>
          </w:tcPr>
          <w:p w14:paraId="011A20B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南京机电职业技术学院宣传材料管理办法（试行）</w:t>
            </w:r>
          </w:p>
        </w:tc>
        <w:tc>
          <w:tcPr>
            <w:tcW w:w="1701" w:type="dxa"/>
            <w:vAlign w:val="center"/>
          </w:tcPr>
          <w:p w14:paraId="688E854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南机电院宣〔2023〕7号</w:t>
            </w:r>
          </w:p>
        </w:tc>
        <w:tc>
          <w:tcPr>
            <w:tcW w:w="1134" w:type="dxa"/>
            <w:vAlign w:val="center"/>
          </w:tcPr>
          <w:p w14:paraId="3B151A7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党委宣传部</w:t>
            </w:r>
          </w:p>
        </w:tc>
      </w:tr>
      <w:tr w14:paraId="17EB2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4772692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21</w:t>
            </w:r>
          </w:p>
        </w:tc>
        <w:tc>
          <w:tcPr>
            <w:tcW w:w="5386" w:type="dxa"/>
            <w:vAlign w:val="center"/>
          </w:tcPr>
          <w:p w14:paraId="36AA448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南京机电职业技术学院网评员（舆情观察员）管理办法（暂行）</w:t>
            </w:r>
          </w:p>
        </w:tc>
        <w:tc>
          <w:tcPr>
            <w:tcW w:w="1701" w:type="dxa"/>
            <w:vAlign w:val="center"/>
          </w:tcPr>
          <w:p w14:paraId="0CCC442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南机电院宣〔2023〕9号</w:t>
            </w:r>
          </w:p>
        </w:tc>
        <w:tc>
          <w:tcPr>
            <w:tcW w:w="1134" w:type="dxa"/>
            <w:vAlign w:val="center"/>
          </w:tcPr>
          <w:p w14:paraId="5FFDAF7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党委宣传部</w:t>
            </w:r>
          </w:p>
        </w:tc>
      </w:tr>
      <w:tr w14:paraId="4CFA1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0053F1F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22</w:t>
            </w:r>
          </w:p>
        </w:tc>
        <w:tc>
          <w:tcPr>
            <w:tcW w:w="5386" w:type="dxa"/>
            <w:vAlign w:val="center"/>
          </w:tcPr>
          <w:p w14:paraId="36D3627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南京机电职业技术学院网站管理办法</w:t>
            </w:r>
          </w:p>
        </w:tc>
        <w:tc>
          <w:tcPr>
            <w:tcW w:w="1701" w:type="dxa"/>
            <w:vAlign w:val="center"/>
          </w:tcPr>
          <w:p w14:paraId="4EB40E6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南机电院宣〔2023〕10号</w:t>
            </w:r>
          </w:p>
        </w:tc>
        <w:tc>
          <w:tcPr>
            <w:tcW w:w="1134" w:type="dxa"/>
            <w:vAlign w:val="center"/>
          </w:tcPr>
          <w:p w14:paraId="54CAE7C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党委宣传部</w:t>
            </w:r>
          </w:p>
        </w:tc>
      </w:tr>
      <w:tr w14:paraId="7C0A0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319AA36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23</w:t>
            </w:r>
          </w:p>
        </w:tc>
        <w:tc>
          <w:tcPr>
            <w:tcW w:w="5386" w:type="dxa"/>
            <w:vAlign w:val="center"/>
          </w:tcPr>
          <w:p w14:paraId="64D2B7E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南京机电职业技术学院意识形态工作分析研判和情况报告制度（修订）</w:t>
            </w:r>
          </w:p>
        </w:tc>
        <w:tc>
          <w:tcPr>
            <w:tcW w:w="1701" w:type="dxa"/>
            <w:vAlign w:val="center"/>
          </w:tcPr>
          <w:p w14:paraId="4A4378E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南机电院宣〔2023〕12号</w:t>
            </w:r>
          </w:p>
        </w:tc>
        <w:tc>
          <w:tcPr>
            <w:tcW w:w="1134" w:type="dxa"/>
            <w:vAlign w:val="center"/>
          </w:tcPr>
          <w:p w14:paraId="069739D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党委宣传部</w:t>
            </w:r>
          </w:p>
        </w:tc>
      </w:tr>
      <w:tr w14:paraId="34A1E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5F29BD4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24</w:t>
            </w:r>
          </w:p>
        </w:tc>
        <w:tc>
          <w:tcPr>
            <w:tcW w:w="5386" w:type="dxa"/>
            <w:vAlign w:val="center"/>
          </w:tcPr>
          <w:p w14:paraId="07C216E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南京机电职业技术学院新媒体管理制度（修订）</w:t>
            </w:r>
          </w:p>
        </w:tc>
        <w:tc>
          <w:tcPr>
            <w:tcW w:w="1701" w:type="dxa"/>
            <w:vAlign w:val="center"/>
          </w:tcPr>
          <w:p w14:paraId="504D4E3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南机电院宣〔2024〕7号</w:t>
            </w:r>
          </w:p>
        </w:tc>
        <w:tc>
          <w:tcPr>
            <w:tcW w:w="1134" w:type="dxa"/>
            <w:vAlign w:val="center"/>
          </w:tcPr>
          <w:p w14:paraId="4B34AD3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党委宣传部</w:t>
            </w:r>
          </w:p>
        </w:tc>
      </w:tr>
      <w:tr w14:paraId="00535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0F393E8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25</w:t>
            </w:r>
          </w:p>
        </w:tc>
        <w:tc>
          <w:tcPr>
            <w:tcW w:w="5386" w:type="dxa"/>
            <w:vAlign w:val="center"/>
          </w:tcPr>
          <w:p w14:paraId="24880A3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南京机电职业技术学院关于规范接受社会媒体采访的管理办法</w:t>
            </w:r>
          </w:p>
        </w:tc>
        <w:tc>
          <w:tcPr>
            <w:tcW w:w="1701" w:type="dxa"/>
            <w:vAlign w:val="center"/>
          </w:tcPr>
          <w:p w14:paraId="2D24995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南机电院宣〔2025〕3号</w:t>
            </w:r>
          </w:p>
        </w:tc>
        <w:tc>
          <w:tcPr>
            <w:tcW w:w="1134" w:type="dxa"/>
            <w:vAlign w:val="center"/>
          </w:tcPr>
          <w:p w14:paraId="322EE5D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党委宣传部</w:t>
            </w:r>
          </w:p>
        </w:tc>
      </w:tr>
      <w:tr w14:paraId="33752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14DC924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26</w:t>
            </w:r>
          </w:p>
        </w:tc>
        <w:tc>
          <w:tcPr>
            <w:tcW w:w="5386" w:type="dxa"/>
            <w:vAlign w:val="center"/>
          </w:tcPr>
          <w:p w14:paraId="0E3DD5C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南京机电职业技术学院关于加强学院纪检监察工作的实施办法</w:t>
            </w:r>
          </w:p>
        </w:tc>
        <w:tc>
          <w:tcPr>
            <w:tcW w:w="1701" w:type="dxa"/>
            <w:vAlign w:val="center"/>
          </w:tcPr>
          <w:p w14:paraId="2F3E96A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机电学院纪〔2009〕2号</w:t>
            </w:r>
          </w:p>
        </w:tc>
        <w:tc>
          <w:tcPr>
            <w:tcW w:w="1134" w:type="dxa"/>
            <w:vAlign w:val="center"/>
          </w:tcPr>
          <w:p w14:paraId="2F00628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党办</w:t>
            </w:r>
          </w:p>
        </w:tc>
      </w:tr>
      <w:tr w14:paraId="08F74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05422DF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27</w:t>
            </w:r>
          </w:p>
        </w:tc>
        <w:tc>
          <w:tcPr>
            <w:tcW w:w="5386" w:type="dxa"/>
            <w:vAlign w:val="center"/>
          </w:tcPr>
          <w:p w14:paraId="6F6628E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中共南京机电职业技术学院纪委关于领导干部廉洁自律的各项规定</w:t>
            </w:r>
          </w:p>
        </w:tc>
        <w:tc>
          <w:tcPr>
            <w:tcW w:w="1701" w:type="dxa"/>
            <w:vAlign w:val="center"/>
          </w:tcPr>
          <w:p w14:paraId="48DC787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机电学院纪〔2010〕4号</w:t>
            </w:r>
          </w:p>
        </w:tc>
        <w:tc>
          <w:tcPr>
            <w:tcW w:w="1134" w:type="dxa"/>
            <w:vAlign w:val="center"/>
          </w:tcPr>
          <w:p w14:paraId="0833B08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党办</w:t>
            </w:r>
          </w:p>
        </w:tc>
      </w:tr>
      <w:tr w14:paraId="74CED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44F8F7C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28</w:t>
            </w:r>
          </w:p>
        </w:tc>
        <w:tc>
          <w:tcPr>
            <w:tcW w:w="5386" w:type="dxa"/>
            <w:vAlign w:val="center"/>
          </w:tcPr>
          <w:p w14:paraId="7CD01EB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关于推进“纪巡财审”协同监督的实施办法（试行）</w:t>
            </w:r>
          </w:p>
        </w:tc>
        <w:tc>
          <w:tcPr>
            <w:tcW w:w="1701" w:type="dxa"/>
            <w:vAlign w:val="center"/>
          </w:tcPr>
          <w:p w14:paraId="394323F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南机电院纪〔2023〕2号</w:t>
            </w:r>
          </w:p>
        </w:tc>
        <w:tc>
          <w:tcPr>
            <w:tcW w:w="1134" w:type="dxa"/>
            <w:vAlign w:val="center"/>
          </w:tcPr>
          <w:p w14:paraId="705758F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纪委办</w:t>
            </w:r>
          </w:p>
        </w:tc>
      </w:tr>
      <w:tr w14:paraId="577B4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4D7352F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29</w:t>
            </w:r>
          </w:p>
        </w:tc>
        <w:tc>
          <w:tcPr>
            <w:tcW w:w="5386" w:type="dxa"/>
            <w:vAlign w:val="center"/>
          </w:tcPr>
          <w:p w14:paraId="242FADD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南京机电职业技术学院信访工作实施细则(修订)</w:t>
            </w:r>
          </w:p>
        </w:tc>
        <w:tc>
          <w:tcPr>
            <w:tcW w:w="1701" w:type="dxa"/>
            <w:vAlign w:val="center"/>
          </w:tcPr>
          <w:p w14:paraId="32A4C42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南机电院纪(2024)3号</w:t>
            </w:r>
          </w:p>
        </w:tc>
        <w:tc>
          <w:tcPr>
            <w:tcW w:w="1134" w:type="dxa"/>
            <w:vAlign w:val="center"/>
          </w:tcPr>
          <w:p w14:paraId="7C60356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纪委办</w:t>
            </w:r>
          </w:p>
        </w:tc>
      </w:tr>
      <w:tr w14:paraId="4078F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04B96BB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30</w:t>
            </w:r>
          </w:p>
        </w:tc>
        <w:tc>
          <w:tcPr>
            <w:tcW w:w="5386" w:type="dxa"/>
            <w:vAlign w:val="center"/>
          </w:tcPr>
          <w:p w14:paraId="3C05670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南京机电职业技术学院教职工子女医疗费、幼儿园学费报销办法</w:t>
            </w:r>
          </w:p>
        </w:tc>
        <w:tc>
          <w:tcPr>
            <w:tcW w:w="1701" w:type="dxa"/>
            <w:vAlign w:val="center"/>
          </w:tcPr>
          <w:p w14:paraId="3E4C881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南机电院工〔2023〕3号</w:t>
            </w:r>
          </w:p>
        </w:tc>
        <w:tc>
          <w:tcPr>
            <w:tcW w:w="1134" w:type="dxa"/>
            <w:vAlign w:val="center"/>
          </w:tcPr>
          <w:p w14:paraId="62A8FDC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工会</w:t>
            </w:r>
          </w:p>
        </w:tc>
      </w:tr>
      <w:tr w14:paraId="5BCCF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19A9C13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31</w:t>
            </w:r>
          </w:p>
        </w:tc>
        <w:tc>
          <w:tcPr>
            <w:tcW w:w="5386" w:type="dxa"/>
            <w:vAlign w:val="center"/>
          </w:tcPr>
          <w:p w14:paraId="0DEA72F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南京机电职业技术学院社团经费使用管理办法（2023年修订）</w:t>
            </w:r>
          </w:p>
        </w:tc>
        <w:tc>
          <w:tcPr>
            <w:tcW w:w="1701" w:type="dxa"/>
            <w:vAlign w:val="center"/>
          </w:tcPr>
          <w:p w14:paraId="2C089C1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南机电院委〔2023〕41号</w:t>
            </w:r>
          </w:p>
        </w:tc>
        <w:tc>
          <w:tcPr>
            <w:tcW w:w="1134" w:type="dxa"/>
            <w:vAlign w:val="center"/>
          </w:tcPr>
          <w:p w14:paraId="36D87F8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团委</w:t>
            </w:r>
          </w:p>
        </w:tc>
      </w:tr>
      <w:tr w14:paraId="5D615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7818560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32</w:t>
            </w:r>
          </w:p>
        </w:tc>
        <w:tc>
          <w:tcPr>
            <w:tcW w:w="5386" w:type="dxa"/>
            <w:vAlign w:val="center"/>
          </w:tcPr>
          <w:p w14:paraId="10BEFE4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南京机电职业技术学院网络信息安全管理应急预案</w:t>
            </w:r>
          </w:p>
        </w:tc>
        <w:tc>
          <w:tcPr>
            <w:tcW w:w="1701" w:type="dxa"/>
            <w:vAlign w:val="center"/>
          </w:tcPr>
          <w:p w14:paraId="2503EAC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南机电院办〔2019〕3号</w:t>
            </w:r>
          </w:p>
        </w:tc>
        <w:tc>
          <w:tcPr>
            <w:tcW w:w="1134" w:type="dxa"/>
            <w:vAlign w:val="center"/>
          </w:tcPr>
          <w:p w14:paraId="1032D57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学院办公室</w:t>
            </w:r>
          </w:p>
        </w:tc>
      </w:tr>
      <w:tr w14:paraId="0A7F3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09EBFD6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33</w:t>
            </w:r>
          </w:p>
        </w:tc>
        <w:tc>
          <w:tcPr>
            <w:tcW w:w="5386" w:type="dxa"/>
            <w:vAlign w:val="center"/>
          </w:tcPr>
          <w:p w14:paraId="2C7CF60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南京机电职业技术学院网络安全管理制度</w:t>
            </w:r>
          </w:p>
        </w:tc>
        <w:tc>
          <w:tcPr>
            <w:tcW w:w="1701" w:type="dxa"/>
            <w:vAlign w:val="center"/>
          </w:tcPr>
          <w:p w14:paraId="5481753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南机电院委〔2022〕19号</w:t>
            </w:r>
          </w:p>
        </w:tc>
        <w:tc>
          <w:tcPr>
            <w:tcW w:w="1134" w:type="dxa"/>
            <w:vAlign w:val="center"/>
          </w:tcPr>
          <w:p w14:paraId="04FFD31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学院办公室</w:t>
            </w:r>
          </w:p>
        </w:tc>
      </w:tr>
      <w:tr w14:paraId="73AA2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7FEE35E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34</w:t>
            </w:r>
          </w:p>
        </w:tc>
        <w:tc>
          <w:tcPr>
            <w:tcW w:w="5386" w:type="dxa"/>
            <w:vAlign w:val="center"/>
          </w:tcPr>
          <w:p w14:paraId="54FBB97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南京机电职业技术学院公务出行保障和保留车辆使用管理办法（试行）</w:t>
            </w:r>
          </w:p>
        </w:tc>
        <w:tc>
          <w:tcPr>
            <w:tcW w:w="1701" w:type="dxa"/>
            <w:vAlign w:val="center"/>
          </w:tcPr>
          <w:p w14:paraId="28F1473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南机电院〔2018〕33号</w:t>
            </w:r>
          </w:p>
        </w:tc>
        <w:tc>
          <w:tcPr>
            <w:tcW w:w="1134" w:type="dxa"/>
            <w:vAlign w:val="center"/>
          </w:tcPr>
          <w:p w14:paraId="2577DFC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车改领导小组</w:t>
            </w:r>
          </w:p>
        </w:tc>
      </w:tr>
      <w:tr w14:paraId="23910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194AB35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35</w:t>
            </w:r>
          </w:p>
        </w:tc>
        <w:tc>
          <w:tcPr>
            <w:tcW w:w="5386" w:type="dxa"/>
            <w:vAlign w:val="center"/>
          </w:tcPr>
          <w:p w14:paraId="1E3C73E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南京机电职业技术学院校名、校标类标识使用管理办法（试行）</w:t>
            </w:r>
          </w:p>
        </w:tc>
        <w:tc>
          <w:tcPr>
            <w:tcW w:w="1701" w:type="dxa"/>
            <w:vAlign w:val="center"/>
          </w:tcPr>
          <w:p w14:paraId="7363018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南机电院〔2020〕37号</w:t>
            </w:r>
          </w:p>
        </w:tc>
        <w:tc>
          <w:tcPr>
            <w:tcW w:w="1134" w:type="dxa"/>
            <w:vAlign w:val="center"/>
          </w:tcPr>
          <w:p w14:paraId="47A1E6D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学院办公室</w:t>
            </w:r>
          </w:p>
        </w:tc>
      </w:tr>
      <w:tr w14:paraId="595ED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6F0C735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36</w:t>
            </w:r>
          </w:p>
        </w:tc>
        <w:tc>
          <w:tcPr>
            <w:tcW w:w="5386" w:type="dxa"/>
            <w:vAlign w:val="center"/>
          </w:tcPr>
          <w:p w14:paraId="2660859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南京机电职业技术学院人事管理分配制度实施办法（补充修订）</w:t>
            </w:r>
          </w:p>
        </w:tc>
        <w:tc>
          <w:tcPr>
            <w:tcW w:w="1701" w:type="dxa"/>
            <w:vAlign w:val="center"/>
          </w:tcPr>
          <w:p w14:paraId="33F09EA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南机电院〔2012〕15号</w:t>
            </w:r>
          </w:p>
        </w:tc>
        <w:tc>
          <w:tcPr>
            <w:tcW w:w="1134" w:type="dxa"/>
            <w:vAlign w:val="center"/>
          </w:tcPr>
          <w:p w14:paraId="45C22AB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人事处</w:t>
            </w:r>
          </w:p>
        </w:tc>
      </w:tr>
      <w:tr w14:paraId="35BE8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7AB9693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37</w:t>
            </w:r>
          </w:p>
        </w:tc>
        <w:tc>
          <w:tcPr>
            <w:tcW w:w="5386" w:type="dxa"/>
            <w:vAlign w:val="center"/>
          </w:tcPr>
          <w:p w14:paraId="1DF9425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南京机电职业技术学院人事管理分配制度实施办法</w:t>
            </w:r>
          </w:p>
        </w:tc>
        <w:tc>
          <w:tcPr>
            <w:tcW w:w="1701" w:type="dxa"/>
            <w:vAlign w:val="center"/>
          </w:tcPr>
          <w:p w14:paraId="3814E78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无文号</w:t>
            </w:r>
          </w:p>
        </w:tc>
        <w:tc>
          <w:tcPr>
            <w:tcW w:w="1134" w:type="dxa"/>
            <w:vAlign w:val="center"/>
          </w:tcPr>
          <w:p w14:paraId="609C4B7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人事处</w:t>
            </w:r>
          </w:p>
        </w:tc>
      </w:tr>
      <w:tr w14:paraId="49916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476D24F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38</w:t>
            </w:r>
          </w:p>
        </w:tc>
        <w:tc>
          <w:tcPr>
            <w:tcW w:w="5386" w:type="dxa"/>
            <w:vAlign w:val="center"/>
          </w:tcPr>
          <w:p w14:paraId="21F17E7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临时性工作补贴发放办法</w:t>
            </w:r>
          </w:p>
        </w:tc>
        <w:tc>
          <w:tcPr>
            <w:tcW w:w="1701" w:type="dxa"/>
            <w:vAlign w:val="center"/>
          </w:tcPr>
          <w:p w14:paraId="14AE4B9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南机电院人〔2021〕10号</w:t>
            </w:r>
          </w:p>
        </w:tc>
        <w:tc>
          <w:tcPr>
            <w:tcW w:w="1134" w:type="dxa"/>
            <w:vAlign w:val="center"/>
          </w:tcPr>
          <w:p w14:paraId="6675B61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人事处</w:t>
            </w:r>
          </w:p>
        </w:tc>
      </w:tr>
      <w:tr w14:paraId="316EC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7562528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39</w:t>
            </w:r>
          </w:p>
        </w:tc>
        <w:tc>
          <w:tcPr>
            <w:tcW w:w="5386" w:type="dxa"/>
            <w:vAlign w:val="center"/>
          </w:tcPr>
          <w:p w14:paraId="528F32A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南京机电职业技术学院工资支付管理暂行办法</w:t>
            </w:r>
          </w:p>
        </w:tc>
        <w:tc>
          <w:tcPr>
            <w:tcW w:w="1701" w:type="dxa"/>
            <w:vAlign w:val="center"/>
          </w:tcPr>
          <w:p w14:paraId="24EB8DF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南机电院〔2021〕40号</w:t>
            </w:r>
          </w:p>
        </w:tc>
        <w:tc>
          <w:tcPr>
            <w:tcW w:w="1134" w:type="dxa"/>
            <w:vAlign w:val="center"/>
          </w:tcPr>
          <w:p w14:paraId="140B9B6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人事处</w:t>
            </w:r>
          </w:p>
        </w:tc>
      </w:tr>
      <w:tr w14:paraId="253BF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1BE30FE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40</w:t>
            </w:r>
          </w:p>
        </w:tc>
        <w:tc>
          <w:tcPr>
            <w:tcW w:w="5386" w:type="dxa"/>
            <w:vAlign w:val="center"/>
          </w:tcPr>
          <w:p w14:paraId="0ECA4E4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南京机电职业技术学院绩效考核与奖金发放管理暂行办法</w:t>
            </w:r>
          </w:p>
        </w:tc>
        <w:tc>
          <w:tcPr>
            <w:tcW w:w="1701" w:type="dxa"/>
            <w:vAlign w:val="center"/>
          </w:tcPr>
          <w:p w14:paraId="07F7698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南机电院〔2021〕41号</w:t>
            </w:r>
          </w:p>
        </w:tc>
        <w:tc>
          <w:tcPr>
            <w:tcW w:w="1134" w:type="dxa"/>
            <w:vAlign w:val="center"/>
          </w:tcPr>
          <w:p w14:paraId="100C495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人事处</w:t>
            </w:r>
          </w:p>
        </w:tc>
      </w:tr>
      <w:tr w14:paraId="00B60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4170C96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41</w:t>
            </w:r>
          </w:p>
        </w:tc>
        <w:tc>
          <w:tcPr>
            <w:tcW w:w="5386" w:type="dxa"/>
            <w:vAlign w:val="center"/>
          </w:tcPr>
          <w:p w14:paraId="06F067F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南京机电职业技术学院专职辅导员专项岗位津贴发放管理办法（试行）</w:t>
            </w:r>
          </w:p>
        </w:tc>
        <w:tc>
          <w:tcPr>
            <w:tcW w:w="1701" w:type="dxa"/>
            <w:vAlign w:val="center"/>
          </w:tcPr>
          <w:p w14:paraId="03FD71A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南机电院〔2023〕18号</w:t>
            </w:r>
          </w:p>
        </w:tc>
        <w:tc>
          <w:tcPr>
            <w:tcW w:w="1134" w:type="dxa"/>
            <w:vAlign w:val="center"/>
          </w:tcPr>
          <w:p w14:paraId="3592BD6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人事处</w:t>
            </w:r>
          </w:p>
        </w:tc>
      </w:tr>
      <w:tr w14:paraId="0C142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658FFB1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42</w:t>
            </w:r>
          </w:p>
        </w:tc>
        <w:tc>
          <w:tcPr>
            <w:tcW w:w="5386" w:type="dxa"/>
            <w:vAlign w:val="center"/>
          </w:tcPr>
          <w:p w14:paraId="79C63FE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南京机电职业技术学院教职工年度考核办法</w:t>
            </w:r>
          </w:p>
        </w:tc>
        <w:tc>
          <w:tcPr>
            <w:tcW w:w="1701" w:type="dxa"/>
            <w:vAlign w:val="center"/>
          </w:tcPr>
          <w:p w14:paraId="20682EF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机电学院人〔2014〕3号</w:t>
            </w:r>
          </w:p>
        </w:tc>
        <w:tc>
          <w:tcPr>
            <w:tcW w:w="1134" w:type="dxa"/>
            <w:vAlign w:val="center"/>
          </w:tcPr>
          <w:p w14:paraId="5D0C49B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人事处</w:t>
            </w:r>
          </w:p>
        </w:tc>
      </w:tr>
      <w:tr w14:paraId="0B712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5BBAA07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43</w:t>
            </w:r>
          </w:p>
        </w:tc>
        <w:tc>
          <w:tcPr>
            <w:tcW w:w="5386" w:type="dxa"/>
            <w:vAlign w:val="center"/>
          </w:tcPr>
          <w:p w14:paraId="53796F9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南京机电职业技术学院人员流动站管理暂行办法</w:t>
            </w:r>
          </w:p>
        </w:tc>
        <w:tc>
          <w:tcPr>
            <w:tcW w:w="1701" w:type="dxa"/>
            <w:vAlign w:val="center"/>
          </w:tcPr>
          <w:p w14:paraId="57E6C93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南机电院〔2022〕34号</w:t>
            </w:r>
          </w:p>
        </w:tc>
        <w:tc>
          <w:tcPr>
            <w:tcW w:w="1134" w:type="dxa"/>
            <w:vAlign w:val="center"/>
          </w:tcPr>
          <w:p w14:paraId="6943631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人事处</w:t>
            </w:r>
          </w:p>
        </w:tc>
      </w:tr>
      <w:tr w14:paraId="5A4CE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2326EF0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44</w:t>
            </w:r>
          </w:p>
        </w:tc>
        <w:tc>
          <w:tcPr>
            <w:tcW w:w="5386" w:type="dxa"/>
            <w:vAlign w:val="center"/>
          </w:tcPr>
          <w:p w14:paraId="27BB28E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南京机电职业技术学院突出贡献奖评选表彰暂行办法（修订）</w:t>
            </w:r>
          </w:p>
        </w:tc>
        <w:tc>
          <w:tcPr>
            <w:tcW w:w="1701" w:type="dxa"/>
            <w:vAlign w:val="center"/>
          </w:tcPr>
          <w:p w14:paraId="7E3C624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南机电院〔2023〕30号</w:t>
            </w:r>
          </w:p>
        </w:tc>
        <w:tc>
          <w:tcPr>
            <w:tcW w:w="1134" w:type="dxa"/>
            <w:vAlign w:val="center"/>
          </w:tcPr>
          <w:p w14:paraId="4BDA49D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人事处</w:t>
            </w:r>
          </w:p>
        </w:tc>
      </w:tr>
      <w:tr w14:paraId="736E1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4E731A5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45</w:t>
            </w:r>
          </w:p>
        </w:tc>
        <w:tc>
          <w:tcPr>
            <w:tcW w:w="5386" w:type="dxa"/>
            <w:vAlign w:val="center"/>
          </w:tcPr>
          <w:p w14:paraId="67C858A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南京机电职业技术学院教职工校内岗位调整管理办法（试行）</w:t>
            </w:r>
          </w:p>
        </w:tc>
        <w:tc>
          <w:tcPr>
            <w:tcW w:w="1701" w:type="dxa"/>
            <w:vAlign w:val="center"/>
          </w:tcPr>
          <w:p w14:paraId="4AE5BB8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南机电院〔2023〕57号</w:t>
            </w:r>
          </w:p>
        </w:tc>
        <w:tc>
          <w:tcPr>
            <w:tcW w:w="1134" w:type="dxa"/>
            <w:vAlign w:val="center"/>
          </w:tcPr>
          <w:p w14:paraId="443E35E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人事处</w:t>
            </w:r>
          </w:p>
        </w:tc>
      </w:tr>
      <w:tr w14:paraId="04E46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6C1EF5B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46</w:t>
            </w:r>
          </w:p>
        </w:tc>
        <w:tc>
          <w:tcPr>
            <w:tcW w:w="5386" w:type="dxa"/>
            <w:vAlign w:val="center"/>
          </w:tcPr>
          <w:p w14:paraId="4BA3D0E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关于印发《南京机电职业技术学院师德考核评价实施办法（试行）》的通知</w:t>
            </w:r>
          </w:p>
        </w:tc>
        <w:tc>
          <w:tcPr>
            <w:tcW w:w="1701" w:type="dxa"/>
            <w:vAlign w:val="center"/>
          </w:tcPr>
          <w:p w14:paraId="4833AC3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南机电院委〔2024〕42号</w:t>
            </w:r>
          </w:p>
        </w:tc>
        <w:tc>
          <w:tcPr>
            <w:tcW w:w="1134" w:type="dxa"/>
            <w:vAlign w:val="center"/>
          </w:tcPr>
          <w:p w14:paraId="18FD0CF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人事处</w:t>
            </w:r>
          </w:p>
        </w:tc>
      </w:tr>
      <w:tr w14:paraId="0AA71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7902DFD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47</w:t>
            </w:r>
          </w:p>
        </w:tc>
        <w:tc>
          <w:tcPr>
            <w:tcW w:w="5386" w:type="dxa"/>
            <w:vAlign w:val="center"/>
          </w:tcPr>
          <w:p w14:paraId="2988F94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关于印发《南京机电职业技术学院师德失范负面清单及师德失范处理办法（试行）》的通知</w:t>
            </w:r>
          </w:p>
        </w:tc>
        <w:tc>
          <w:tcPr>
            <w:tcW w:w="1701" w:type="dxa"/>
            <w:vAlign w:val="center"/>
          </w:tcPr>
          <w:p w14:paraId="5CEC674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南机电院委〔2024〕43号</w:t>
            </w:r>
          </w:p>
        </w:tc>
        <w:tc>
          <w:tcPr>
            <w:tcW w:w="1134" w:type="dxa"/>
            <w:vAlign w:val="center"/>
          </w:tcPr>
          <w:p w14:paraId="4218EED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人事处</w:t>
            </w:r>
          </w:p>
        </w:tc>
      </w:tr>
      <w:tr w14:paraId="20B4D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5C86206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48</w:t>
            </w:r>
          </w:p>
        </w:tc>
        <w:tc>
          <w:tcPr>
            <w:tcW w:w="5386" w:type="dxa"/>
            <w:vAlign w:val="center"/>
          </w:tcPr>
          <w:p w14:paraId="260912B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南京机电职业技术学院关于印发《人才项目管理暂行办法》的通知</w:t>
            </w:r>
          </w:p>
        </w:tc>
        <w:tc>
          <w:tcPr>
            <w:tcW w:w="1701" w:type="dxa"/>
            <w:vAlign w:val="center"/>
          </w:tcPr>
          <w:p w14:paraId="0C146C5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南机电院〔2024〕95号</w:t>
            </w:r>
          </w:p>
        </w:tc>
        <w:tc>
          <w:tcPr>
            <w:tcW w:w="1134" w:type="dxa"/>
            <w:vAlign w:val="center"/>
          </w:tcPr>
          <w:p w14:paraId="18EDB8C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人事处</w:t>
            </w:r>
          </w:p>
        </w:tc>
      </w:tr>
      <w:tr w14:paraId="4E7AA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7432DB5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49</w:t>
            </w:r>
          </w:p>
        </w:tc>
        <w:tc>
          <w:tcPr>
            <w:tcW w:w="5386" w:type="dxa"/>
            <w:vAlign w:val="center"/>
          </w:tcPr>
          <w:p w14:paraId="186802B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南京机电职业技术学院关于印发《产业教授管理办法（试行》的通知</w:t>
            </w:r>
          </w:p>
        </w:tc>
        <w:tc>
          <w:tcPr>
            <w:tcW w:w="1701" w:type="dxa"/>
            <w:vAlign w:val="center"/>
          </w:tcPr>
          <w:p w14:paraId="54A8FAC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南机电院〔2024〕101号</w:t>
            </w:r>
          </w:p>
        </w:tc>
        <w:tc>
          <w:tcPr>
            <w:tcW w:w="1134" w:type="dxa"/>
            <w:vAlign w:val="center"/>
          </w:tcPr>
          <w:p w14:paraId="3A1DD78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人事处</w:t>
            </w:r>
          </w:p>
        </w:tc>
      </w:tr>
      <w:tr w14:paraId="0E2BE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43D6AE2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50</w:t>
            </w:r>
          </w:p>
        </w:tc>
        <w:tc>
          <w:tcPr>
            <w:tcW w:w="5386" w:type="dxa"/>
            <w:vAlign w:val="center"/>
          </w:tcPr>
          <w:p w14:paraId="24A11B9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关于印发《南京机电职业技术学院劳务费管理办法（试行）》的通知</w:t>
            </w:r>
          </w:p>
        </w:tc>
        <w:tc>
          <w:tcPr>
            <w:tcW w:w="1701" w:type="dxa"/>
            <w:vAlign w:val="center"/>
          </w:tcPr>
          <w:p w14:paraId="1848495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南机电院〔2025〕1号</w:t>
            </w:r>
          </w:p>
        </w:tc>
        <w:tc>
          <w:tcPr>
            <w:tcW w:w="1134" w:type="dxa"/>
            <w:vAlign w:val="center"/>
          </w:tcPr>
          <w:p w14:paraId="5F44ECF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财务处</w:t>
            </w:r>
          </w:p>
        </w:tc>
      </w:tr>
      <w:tr w14:paraId="26FFC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7F33831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51</w:t>
            </w:r>
          </w:p>
        </w:tc>
        <w:tc>
          <w:tcPr>
            <w:tcW w:w="5386" w:type="dxa"/>
            <w:vAlign w:val="center"/>
          </w:tcPr>
          <w:p w14:paraId="5843928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《南京机电职业技术学院货币资金管理办法》</w:t>
            </w:r>
          </w:p>
        </w:tc>
        <w:tc>
          <w:tcPr>
            <w:tcW w:w="1701" w:type="dxa"/>
            <w:vAlign w:val="center"/>
          </w:tcPr>
          <w:p w14:paraId="409A112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南机电院〔2021〕22号</w:t>
            </w:r>
          </w:p>
        </w:tc>
        <w:tc>
          <w:tcPr>
            <w:tcW w:w="1134" w:type="dxa"/>
            <w:vAlign w:val="center"/>
          </w:tcPr>
          <w:p w14:paraId="100A74D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财务处</w:t>
            </w:r>
          </w:p>
        </w:tc>
      </w:tr>
      <w:tr w14:paraId="41C43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343B70E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52</w:t>
            </w:r>
          </w:p>
        </w:tc>
        <w:tc>
          <w:tcPr>
            <w:tcW w:w="5386" w:type="dxa"/>
            <w:vAlign w:val="center"/>
          </w:tcPr>
          <w:p w14:paraId="3F5D3E5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《南京机电职业技术学院公务卡管理办法（试行）》</w:t>
            </w:r>
          </w:p>
        </w:tc>
        <w:tc>
          <w:tcPr>
            <w:tcW w:w="1701" w:type="dxa"/>
            <w:vAlign w:val="center"/>
          </w:tcPr>
          <w:p w14:paraId="5FF290F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南机电院〔2022〕27号</w:t>
            </w:r>
          </w:p>
        </w:tc>
        <w:tc>
          <w:tcPr>
            <w:tcW w:w="1134" w:type="dxa"/>
            <w:vAlign w:val="center"/>
          </w:tcPr>
          <w:p w14:paraId="0250CD1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财务处</w:t>
            </w:r>
          </w:p>
        </w:tc>
      </w:tr>
      <w:tr w14:paraId="51F19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6EA118D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53</w:t>
            </w:r>
          </w:p>
        </w:tc>
        <w:tc>
          <w:tcPr>
            <w:tcW w:w="5386" w:type="dxa"/>
            <w:vAlign w:val="center"/>
          </w:tcPr>
          <w:p w14:paraId="14DED5C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《南京机电职业技术学院投资管理暂行办法（试行）》</w:t>
            </w:r>
          </w:p>
        </w:tc>
        <w:tc>
          <w:tcPr>
            <w:tcW w:w="1701" w:type="dxa"/>
            <w:vAlign w:val="center"/>
          </w:tcPr>
          <w:p w14:paraId="37B28F6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南机电院〔2023〕17号</w:t>
            </w:r>
          </w:p>
        </w:tc>
        <w:tc>
          <w:tcPr>
            <w:tcW w:w="1134" w:type="dxa"/>
            <w:vAlign w:val="center"/>
          </w:tcPr>
          <w:p w14:paraId="0ACB9A3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财务处</w:t>
            </w:r>
          </w:p>
        </w:tc>
      </w:tr>
      <w:tr w14:paraId="2DC91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3A8A8B1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54</w:t>
            </w:r>
          </w:p>
        </w:tc>
        <w:tc>
          <w:tcPr>
            <w:tcW w:w="5386" w:type="dxa"/>
            <w:vAlign w:val="center"/>
          </w:tcPr>
          <w:p w14:paraId="10A610F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《南京机电职业技术学院会计核算管理办法（暂行）》</w:t>
            </w:r>
          </w:p>
        </w:tc>
        <w:tc>
          <w:tcPr>
            <w:tcW w:w="1701" w:type="dxa"/>
            <w:vAlign w:val="center"/>
          </w:tcPr>
          <w:p w14:paraId="778B596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南机电院〔2023〕49号</w:t>
            </w:r>
          </w:p>
        </w:tc>
        <w:tc>
          <w:tcPr>
            <w:tcW w:w="1134" w:type="dxa"/>
            <w:vAlign w:val="center"/>
          </w:tcPr>
          <w:p w14:paraId="696483B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财务处</w:t>
            </w:r>
          </w:p>
        </w:tc>
      </w:tr>
      <w:tr w14:paraId="729B2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528984D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55</w:t>
            </w:r>
          </w:p>
        </w:tc>
        <w:tc>
          <w:tcPr>
            <w:tcW w:w="5386" w:type="dxa"/>
            <w:vAlign w:val="center"/>
          </w:tcPr>
          <w:p w14:paraId="2658BEF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《南京机电职业技术学院市内公务交通报销管理办法(试行)》</w:t>
            </w:r>
          </w:p>
        </w:tc>
        <w:tc>
          <w:tcPr>
            <w:tcW w:w="1701" w:type="dxa"/>
            <w:vAlign w:val="center"/>
          </w:tcPr>
          <w:p w14:paraId="7382345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南机电院〔2024〕17号</w:t>
            </w:r>
          </w:p>
        </w:tc>
        <w:tc>
          <w:tcPr>
            <w:tcW w:w="1134" w:type="dxa"/>
            <w:vAlign w:val="center"/>
          </w:tcPr>
          <w:p w14:paraId="78E7298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财务处</w:t>
            </w:r>
          </w:p>
        </w:tc>
      </w:tr>
      <w:tr w14:paraId="5D77C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0D41F52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56</w:t>
            </w:r>
          </w:p>
        </w:tc>
        <w:tc>
          <w:tcPr>
            <w:tcW w:w="5386" w:type="dxa"/>
            <w:vAlign w:val="center"/>
          </w:tcPr>
          <w:p w14:paraId="2B18D42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关于印发《南京机电职业技术学院预算管理办法（修订）》《南京机电职业技术学院财务报销管理规定（修订)》的通知</w:t>
            </w:r>
          </w:p>
        </w:tc>
        <w:tc>
          <w:tcPr>
            <w:tcW w:w="1701" w:type="dxa"/>
            <w:vAlign w:val="center"/>
          </w:tcPr>
          <w:p w14:paraId="2BAAC85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南机电院〔2024〕38号</w:t>
            </w:r>
          </w:p>
        </w:tc>
        <w:tc>
          <w:tcPr>
            <w:tcW w:w="1134" w:type="dxa"/>
            <w:vAlign w:val="center"/>
          </w:tcPr>
          <w:p w14:paraId="2A8A56A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财务处</w:t>
            </w:r>
          </w:p>
        </w:tc>
      </w:tr>
      <w:tr w14:paraId="7A1FD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7DCDEF9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57</w:t>
            </w:r>
          </w:p>
        </w:tc>
        <w:tc>
          <w:tcPr>
            <w:tcW w:w="5386" w:type="dxa"/>
            <w:vAlign w:val="center"/>
          </w:tcPr>
          <w:p w14:paraId="5828074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南京机电职业技术学院采购与招投标项目履约验收管理办法（试行）</w:t>
            </w:r>
          </w:p>
        </w:tc>
        <w:tc>
          <w:tcPr>
            <w:tcW w:w="1701" w:type="dxa"/>
            <w:vAlign w:val="center"/>
          </w:tcPr>
          <w:p w14:paraId="26E9577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南机电院〔2023〕40号</w:t>
            </w:r>
          </w:p>
        </w:tc>
        <w:tc>
          <w:tcPr>
            <w:tcW w:w="1134" w:type="dxa"/>
            <w:vAlign w:val="center"/>
          </w:tcPr>
          <w:p w14:paraId="648E36B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资产管理处</w:t>
            </w:r>
          </w:p>
        </w:tc>
      </w:tr>
      <w:tr w14:paraId="65572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5C33FE4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58</w:t>
            </w:r>
          </w:p>
        </w:tc>
        <w:tc>
          <w:tcPr>
            <w:tcW w:w="5386" w:type="dxa"/>
            <w:vAlign w:val="center"/>
          </w:tcPr>
          <w:p w14:paraId="56E391D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南京机电职业技术学院采购项目论证管理办法（试行）</w:t>
            </w:r>
          </w:p>
        </w:tc>
        <w:tc>
          <w:tcPr>
            <w:tcW w:w="1701" w:type="dxa"/>
            <w:vAlign w:val="center"/>
          </w:tcPr>
          <w:p w14:paraId="7007FE8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南机电院〔2023〕41号</w:t>
            </w:r>
          </w:p>
        </w:tc>
        <w:tc>
          <w:tcPr>
            <w:tcW w:w="1134" w:type="dxa"/>
            <w:vAlign w:val="center"/>
          </w:tcPr>
          <w:p w14:paraId="5042ABC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资产管理处</w:t>
            </w:r>
          </w:p>
        </w:tc>
      </w:tr>
      <w:tr w14:paraId="55BDB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5700DE0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59</w:t>
            </w:r>
          </w:p>
        </w:tc>
        <w:tc>
          <w:tcPr>
            <w:tcW w:w="5386" w:type="dxa"/>
            <w:vAlign w:val="center"/>
          </w:tcPr>
          <w:p w14:paraId="31AB6AA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采购与招标评审专家管理办法（试行）</w:t>
            </w:r>
          </w:p>
        </w:tc>
        <w:tc>
          <w:tcPr>
            <w:tcW w:w="1701" w:type="dxa"/>
            <w:vAlign w:val="center"/>
          </w:tcPr>
          <w:p w14:paraId="6CB37C6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南机电院〔2023〕62号</w:t>
            </w:r>
          </w:p>
        </w:tc>
        <w:tc>
          <w:tcPr>
            <w:tcW w:w="1134" w:type="dxa"/>
            <w:vAlign w:val="center"/>
          </w:tcPr>
          <w:p w14:paraId="4B6238B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资产管理处</w:t>
            </w:r>
          </w:p>
        </w:tc>
      </w:tr>
      <w:tr w14:paraId="36B30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74D1371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60</w:t>
            </w:r>
          </w:p>
        </w:tc>
        <w:tc>
          <w:tcPr>
            <w:tcW w:w="5386" w:type="dxa"/>
            <w:vAlign w:val="center"/>
          </w:tcPr>
          <w:p w14:paraId="4C813E9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南京机电职业技术学院固定资产管理考核办法（试行）</w:t>
            </w:r>
          </w:p>
        </w:tc>
        <w:tc>
          <w:tcPr>
            <w:tcW w:w="1701" w:type="dxa"/>
            <w:vAlign w:val="center"/>
          </w:tcPr>
          <w:p w14:paraId="471CB02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南机电院〔2024〕20号</w:t>
            </w:r>
          </w:p>
        </w:tc>
        <w:tc>
          <w:tcPr>
            <w:tcW w:w="1134" w:type="dxa"/>
            <w:vAlign w:val="center"/>
          </w:tcPr>
          <w:p w14:paraId="61FDD1A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资产管理处</w:t>
            </w:r>
          </w:p>
        </w:tc>
      </w:tr>
      <w:tr w14:paraId="6FF1D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3F999B7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61</w:t>
            </w:r>
          </w:p>
        </w:tc>
        <w:tc>
          <w:tcPr>
            <w:tcW w:w="5386" w:type="dxa"/>
            <w:vAlign w:val="center"/>
          </w:tcPr>
          <w:p w14:paraId="148475B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南京机电职业技术学院接受捐赠固定资产管理办法（试行）</w:t>
            </w:r>
          </w:p>
        </w:tc>
        <w:tc>
          <w:tcPr>
            <w:tcW w:w="1701" w:type="dxa"/>
            <w:vAlign w:val="center"/>
          </w:tcPr>
          <w:p w14:paraId="08DC007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南机电院〔2024〕21号</w:t>
            </w:r>
          </w:p>
        </w:tc>
        <w:tc>
          <w:tcPr>
            <w:tcW w:w="1134" w:type="dxa"/>
            <w:vAlign w:val="center"/>
          </w:tcPr>
          <w:p w14:paraId="537C043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资产管理处</w:t>
            </w:r>
          </w:p>
        </w:tc>
      </w:tr>
      <w:tr w14:paraId="4BFD5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6418F84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62</w:t>
            </w:r>
          </w:p>
        </w:tc>
        <w:tc>
          <w:tcPr>
            <w:tcW w:w="5386" w:type="dxa"/>
            <w:vAlign w:val="center"/>
          </w:tcPr>
          <w:p w14:paraId="1E9C796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南京机电职业技术学院无形资产管理办法（试行）</w:t>
            </w:r>
          </w:p>
        </w:tc>
        <w:tc>
          <w:tcPr>
            <w:tcW w:w="1701" w:type="dxa"/>
            <w:vAlign w:val="center"/>
          </w:tcPr>
          <w:p w14:paraId="09F9691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南机电院〔2024〕39号</w:t>
            </w:r>
          </w:p>
        </w:tc>
        <w:tc>
          <w:tcPr>
            <w:tcW w:w="1134" w:type="dxa"/>
            <w:vAlign w:val="center"/>
          </w:tcPr>
          <w:p w14:paraId="19D4CD4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资产管理处</w:t>
            </w:r>
          </w:p>
        </w:tc>
      </w:tr>
      <w:tr w14:paraId="40374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5A36F44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63</w:t>
            </w:r>
          </w:p>
        </w:tc>
        <w:tc>
          <w:tcPr>
            <w:tcW w:w="5386" w:type="dxa"/>
            <w:vAlign w:val="center"/>
          </w:tcPr>
          <w:p w14:paraId="5DEFC46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南京机电职业技术学院项目库建设管理办法（试行）</w:t>
            </w:r>
          </w:p>
        </w:tc>
        <w:tc>
          <w:tcPr>
            <w:tcW w:w="1701" w:type="dxa"/>
            <w:vAlign w:val="center"/>
          </w:tcPr>
          <w:p w14:paraId="6C0B5C8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南机电院〔2024〕78号</w:t>
            </w:r>
          </w:p>
        </w:tc>
        <w:tc>
          <w:tcPr>
            <w:tcW w:w="1134" w:type="dxa"/>
            <w:vAlign w:val="center"/>
          </w:tcPr>
          <w:p w14:paraId="156724F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资产管理处</w:t>
            </w:r>
          </w:p>
        </w:tc>
      </w:tr>
      <w:tr w14:paraId="3B1E0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4D269A2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64</w:t>
            </w:r>
          </w:p>
        </w:tc>
        <w:tc>
          <w:tcPr>
            <w:tcW w:w="5386" w:type="dxa"/>
            <w:vAlign w:val="center"/>
          </w:tcPr>
          <w:p w14:paraId="06CD5FB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南京机电职业技术学院法律事务管理办法（试行）</w:t>
            </w:r>
          </w:p>
        </w:tc>
        <w:tc>
          <w:tcPr>
            <w:tcW w:w="1701" w:type="dxa"/>
            <w:vAlign w:val="center"/>
          </w:tcPr>
          <w:p w14:paraId="0DDFACD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南机电院〔2024〕67号</w:t>
            </w:r>
          </w:p>
        </w:tc>
        <w:tc>
          <w:tcPr>
            <w:tcW w:w="1134" w:type="dxa"/>
            <w:vAlign w:val="center"/>
          </w:tcPr>
          <w:p w14:paraId="0D0D9D5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审计处</w:t>
            </w:r>
          </w:p>
        </w:tc>
      </w:tr>
      <w:tr w14:paraId="7A0A2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72604E4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65</w:t>
            </w:r>
          </w:p>
        </w:tc>
        <w:tc>
          <w:tcPr>
            <w:tcW w:w="5386" w:type="dxa"/>
            <w:vAlign w:val="center"/>
          </w:tcPr>
          <w:p w14:paraId="15FD091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南京机电职业技术学院学业预警工作管理办法（试行）</w:t>
            </w:r>
          </w:p>
        </w:tc>
        <w:tc>
          <w:tcPr>
            <w:tcW w:w="1701" w:type="dxa"/>
            <w:vAlign w:val="center"/>
          </w:tcPr>
          <w:p w14:paraId="2967F69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南机电院〔2024〕46号</w:t>
            </w:r>
          </w:p>
        </w:tc>
        <w:tc>
          <w:tcPr>
            <w:tcW w:w="1134" w:type="dxa"/>
            <w:vAlign w:val="center"/>
          </w:tcPr>
          <w:p w14:paraId="34A77F4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教务处</w:t>
            </w:r>
          </w:p>
        </w:tc>
      </w:tr>
      <w:tr w14:paraId="25E37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5F0D7E9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66</w:t>
            </w:r>
          </w:p>
        </w:tc>
        <w:tc>
          <w:tcPr>
            <w:tcW w:w="5386" w:type="dxa"/>
            <w:vAlign w:val="center"/>
          </w:tcPr>
          <w:p w14:paraId="7678365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听（观）课制度</w:t>
            </w:r>
          </w:p>
        </w:tc>
        <w:tc>
          <w:tcPr>
            <w:tcW w:w="1701" w:type="dxa"/>
            <w:vAlign w:val="center"/>
          </w:tcPr>
          <w:p w14:paraId="274D95A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2015年制度汇编</w:t>
            </w:r>
          </w:p>
        </w:tc>
        <w:tc>
          <w:tcPr>
            <w:tcW w:w="1134" w:type="dxa"/>
            <w:vAlign w:val="center"/>
          </w:tcPr>
          <w:p w14:paraId="5FAB86C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教务处</w:t>
            </w:r>
          </w:p>
        </w:tc>
      </w:tr>
      <w:tr w14:paraId="23FC5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4B1E40A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67</w:t>
            </w:r>
          </w:p>
        </w:tc>
        <w:tc>
          <w:tcPr>
            <w:tcW w:w="5386" w:type="dxa"/>
            <w:vAlign w:val="center"/>
          </w:tcPr>
          <w:p w14:paraId="384555B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教学检查制度</w:t>
            </w:r>
          </w:p>
        </w:tc>
        <w:tc>
          <w:tcPr>
            <w:tcW w:w="1701" w:type="dxa"/>
            <w:vAlign w:val="center"/>
          </w:tcPr>
          <w:p w14:paraId="703EED9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2015年制度汇编</w:t>
            </w:r>
          </w:p>
        </w:tc>
        <w:tc>
          <w:tcPr>
            <w:tcW w:w="1134" w:type="dxa"/>
            <w:vAlign w:val="center"/>
          </w:tcPr>
          <w:p w14:paraId="031B806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教务处</w:t>
            </w:r>
          </w:p>
        </w:tc>
      </w:tr>
      <w:tr w14:paraId="0A641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2798CF8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68</w:t>
            </w:r>
          </w:p>
        </w:tc>
        <w:tc>
          <w:tcPr>
            <w:tcW w:w="5386" w:type="dxa"/>
            <w:vAlign w:val="center"/>
          </w:tcPr>
          <w:p w14:paraId="5AB752C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专业指导委员会章程</w:t>
            </w:r>
          </w:p>
        </w:tc>
        <w:tc>
          <w:tcPr>
            <w:tcW w:w="1701" w:type="dxa"/>
            <w:vAlign w:val="center"/>
          </w:tcPr>
          <w:p w14:paraId="5D9BAD2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2015年制度汇编</w:t>
            </w:r>
          </w:p>
        </w:tc>
        <w:tc>
          <w:tcPr>
            <w:tcW w:w="1134" w:type="dxa"/>
            <w:vAlign w:val="center"/>
          </w:tcPr>
          <w:p w14:paraId="5A9F2AF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教务处</w:t>
            </w:r>
          </w:p>
        </w:tc>
      </w:tr>
      <w:tr w14:paraId="5F4C3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1ECCC11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69</w:t>
            </w:r>
          </w:p>
        </w:tc>
        <w:tc>
          <w:tcPr>
            <w:tcW w:w="5386" w:type="dxa"/>
            <w:vAlign w:val="center"/>
          </w:tcPr>
          <w:p w14:paraId="17A0A8C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教学管理规范</w:t>
            </w:r>
          </w:p>
        </w:tc>
        <w:tc>
          <w:tcPr>
            <w:tcW w:w="1701" w:type="dxa"/>
            <w:vAlign w:val="center"/>
          </w:tcPr>
          <w:p w14:paraId="3BCCF9A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2015年制度汇编</w:t>
            </w:r>
          </w:p>
        </w:tc>
        <w:tc>
          <w:tcPr>
            <w:tcW w:w="1134" w:type="dxa"/>
            <w:vAlign w:val="center"/>
          </w:tcPr>
          <w:p w14:paraId="0462804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教务处</w:t>
            </w:r>
          </w:p>
        </w:tc>
      </w:tr>
      <w:tr w14:paraId="1C2A9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6AD71C6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70</w:t>
            </w:r>
          </w:p>
        </w:tc>
        <w:tc>
          <w:tcPr>
            <w:tcW w:w="5386" w:type="dxa"/>
            <w:vAlign w:val="center"/>
          </w:tcPr>
          <w:p w14:paraId="4FBE134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考试工作规程实施细则</w:t>
            </w:r>
          </w:p>
        </w:tc>
        <w:tc>
          <w:tcPr>
            <w:tcW w:w="1701" w:type="dxa"/>
            <w:vAlign w:val="center"/>
          </w:tcPr>
          <w:p w14:paraId="368892E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2015年制度汇编</w:t>
            </w:r>
          </w:p>
        </w:tc>
        <w:tc>
          <w:tcPr>
            <w:tcW w:w="1134" w:type="dxa"/>
            <w:vAlign w:val="center"/>
          </w:tcPr>
          <w:p w14:paraId="68ED62E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教务处</w:t>
            </w:r>
          </w:p>
        </w:tc>
      </w:tr>
      <w:tr w14:paraId="41750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11C7F50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71</w:t>
            </w:r>
          </w:p>
        </w:tc>
        <w:tc>
          <w:tcPr>
            <w:tcW w:w="5386" w:type="dxa"/>
            <w:vAlign w:val="center"/>
          </w:tcPr>
          <w:p w14:paraId="36197B8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教学任务安排管理办法</w:t>
            </w:r>
          </w:p>
        </w:tc>
        <w:tc>
          <w:tcPr>
            <w:tcW w:w="1701" w:type="dxa"/>
            <w:vAlign w:val="center"/>
          </w:tcPr>
          <w:p w14:paraId="1235188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2015年制度汇编</w:t>
            </w:r>
          </w:p>
        </w:tc>
        <w:tc>
          <w:tcPr>
            <w:tcW w:w="1134" w:type="dxa"/>
            <w:vAlign w:val="center"/>
          </w:tcPr>
          <w:p w14:paraId="17CA3EA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教务处</w:t>
            </w:r>
          </w:p>
        </w:tc>
      </w:tr>
      <w:tr w14:paraId="2A4FE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1D007B4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72</w:t>
            </w:r>
          </w:p>
        </w:tc>
        <w:tc>
          <w:tcPr>
            <w:tcW w:w="5386" w:type="dxa"/>
            <w:vAlign w:val="center"/>
          </w:tcPr>
          <w:p w14:paraId="45CDD63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调课、停课、补课的管理规定</w:t>
            </w:r>
          </w:p>
        </w:tc>
        <w:tc>
          <w:tcPr>
            <w:tcW w:w="1701" w:type="dxa"/>
            <w:vAlign w:val="center"/>
          </w:tcPr>
          <w:p w14:paraId="32CED51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2015年制度汇编</w:t>
            </w:r>
          </w:p>
        </w:tc>
        <w:tc>
          <w:tcPr>
            <w:tcW w:w="1134" w:type="dxa"/>
            <w:vAlign w:val="center"/>
          </w:tcPr>
          <w:p w14:paraId="0FE2D34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教务处</w:t>
            </w:r>
          </w:p>
        </w:tc>
      </w:tr>
      <w:tr w14:paraId="434BD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0276715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73</w:t>
            </w:r>
          </w:p>
        </w:tc>
        <w:tc>
          <w:tcPr>
            <w:tcW w:w="5386" w:type="dxa"/>
            <w:vAlign w:val="center"/>
          </w:tcPr>
          <w:p w14:paraId="2CD54F7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教学档案管理规定</w:t>
            </w:r>
          </w:p>
        </w:tc>
        <w:tc>
          <w:tcPr>
            <w:tcW w:w="1701" w:type="dxa"/>
            <w:vAlign w:val="center"/>
          </w:tcPr>
          <w:p w14:paraId="33217AE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2015年制度汇编</w:t>
            </w:r>
          </w:p>
        </w:tc>
        <w:tc>
          <w:tcPr>
            <w:tcW w:w="1134" w:type="dxa"/>
            <w:vAlign w:val="center"/>
          </w:tcPr>
          <w:p w14:paraId="4FE54C7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教务处</w:t>
            </w:r>
          </w:p>
        </w:tc>
      </w:tr>
      <w:tr w14:paraId="14FD1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6393D67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74</w:t>
            </w:r>
          </w:p>
        </w:tc>
        <w:tc>
          <w:tcPr>
            <w:tcW w:w="5386" w:type="dxa"/>
            <w:vAlign w:val="center"/>
          </w:tcPr>
          <w:p w14:paraId="0C658BF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授课计划和教案编写规定</w:t>
            </w:r>
          </w:p>
        </w:tc>
        <w:tc>
          <w:tcPr>
            <w:tcW w:w="1701" w:type="dxa"/>
            <w:vAlign w:val="center"/>
          </w:tcPr>
          <w:p w14:paraId="5717D74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2015年制度汇编</w:t>
            </w:r>
          </w:p>
        </w:tc>
        <w:tc>
          <w:tcPr>
            <w:tcW w:w="1134" w:type="dxa"/>
            <w:vAlign w:val="center"/>
          </w:tcPr>
          <w:p w14:paraId="0491F8B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教务处</w:t>
            </w:r>
          </w:p>
        </w:tc>
      </w:tr>
      <w:tr w14:paraId="7C8A7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79D9DC6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75</w:t>
            </w:r>
          </w:p>
        </w:tc>
        <w:tc>
          <w:tcPr>
            <w:tcW w:w="5386" w:type="dxa"/>
            <w:vAlign w:val="center"/>
          </w:tcPr>
          <w:p w14:paraId="663173C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教师新开课、开新课管理规定</w:t>
            </w:r>
          </w:p>
        </w:tc>
        <w:tc>
          <w:tcPr>
            <w:tcW w:w="1701" w:type="dxa"/>
            <w:vAlign w:val="center"/>
          </w:tcPr>
          <w:p w14:paraId="77E5F87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2015年制度汇编</w:t>
            </w:r>
          </w:p>
        </w:tc>
        <w:tc>
          <w:tcPr>
            <w:tcW w:w="1134" w:type="dxa"/>
            <w:vAlign w:val="center"/>
          </w:tcPr>
          <w:p w14:paraId="3303E8F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教务处</w:t>
            </w:r>
          </w:p>
        </w:tc>
      </w:tr>
      <w:tr w14:paraId="18D28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2F46C24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76</w:t>
            </w:r>
          </w:p>
        </w:tc>
        <w:tc>
          <w:tcPr>
            <w:tcW w:w="5386" w:type="dxa"/>
            <w:vAlign w:val="center"/>
          </w:tcPr>
          <w:p w14:paraId="36C6882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教师教学工作规程</w:t>
            </w:r>
          </w:p>
        </w:tc>
        <w:tc>
          <w:tcPr>
            <w:tcW w:w="1701" w:type="dxa"/>
            <w:vAlign w:val="center"/>
          </w:tcPr>
          <w:p w14:paraId="7D2D95E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2015年制度汇编</w:t>
            </w:r>
          </w:p>
        </w:tc>
        <w:tc>
          <w:tcPr>
            <w:tcW w:w="1134" w:type="dxa"/>
            <w:vAlign w:val="center"/>
          </w:tcPr>
          <w:p w14:paraId="1CB499C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教务处</w:t>
            </w:r>
          </w:p>
        </w:tc>
      </w:tr>
      <w:tr w14:paraId="7D973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3BE7BA0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77</w:t>
            </w:r>
          </w:p>
        </w:tc>
        <w:tc>
          <w:tcPr>
            <w:tcW w:w="5386" w:type="dxa"/>
            <w:vAlign w:val="center"/>
          </w:tcPr>
          <w:p w14:paraId="6C61273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系部教学工作考核办法</w:t>
            </w:r>
          </w:p>
        </w:tc>
        <w:tc>
          <w:tcPr>
            <w:tcW w:w="1701" w:type="dxa"/>
            <w:vAlign w:val="center"/>
          </w:tcPr>
          <w:p w14:paraId="49673C7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2015年制度汇编</w:t>
            </w:r>
          </w:p>
        </w:tc>
        <w:tc>
          <w:tcPr>
            <w:tcW w:w="1134" w:type="dxa"/>
            <w:vAlign w:val="center"/>
          </w:tcPr>
          <w:p w14:paraId="6D2D733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教务处</w:t>
            </w:r>
          </w:p>
        </w:tc>
      </w:tr>
      <w:tr w14:paraId="00277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1F0162B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78</w:t>
            </w:r>
          </w:p>
        </w:tc>
        <w:tc>
          <w:tcPr>
            <w:tcW w:w="5386" w:type="dxa"/>
            <w:vAlign w:val="center"/>
          </w:tcPr>
          <w:p w14:paraId="0ED0F94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南京机电职业技术学院学生转专业管理办法（修订版）</w:t>
            </w:r>
          </w:p>
        </w:tc>
        <w:tc>
          <w:tcPr>
            <w:tcW w:w="1701" w:type="dxa"/>
            <w:vAlign w:val="center"/>
          </w:tcPr>
          <w:p w14:paraId="423D216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南机电院〔2018〕12号</w:t>
            </w:r>
          </w:p>
        </w:tc>
        <w:tc>
          <w:tcPr>
            <w:tcW w:w="1134" w:type="dxa"/>
            <w:vAlign w:val="center"/>
          </w:tcPr>
          <w:p w14:paraId="6CDD602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教务处</w:t>
            </w:r>
          </w:p>
        </w:tc>
      </w:tr>
      <w:tr w14:paraId="39FF2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2369868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79</w:t>
            </w:r>
          </w:p>
        </w:tc>
        <w:tc>
          <w:tcPr>
            <w:tcW w:w="5386" w:type="dxa"/>
            <w:vAlign w:val="center"/>
          </w:tcPr>
          <w:p w14:paraId="7627AB9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教研室活动制度</w:t>
            </w:r>
          </w:p>
        </w:tc>
        <w:tc>
          <w:tcPr>
            <w:tcW w:w="1701" w:type="dxa"/>
            <w:vAlign w:val="center"/>
          </w:tcPr>
          <w:p w14:paraId="495FF4A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2015年制度汇编</w:t>
            </w:r>
          </w:p>
        </w:tc>
        <w:tc>
          <w:tcPr>
            <w:tcW w:w="1134" w:type="dxa"/>
            <w:vAlign w:val="center"/>
          </w:tcPr>
          <w:p w14:paraId="38B7BCD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教务处</w:t>
            </w:r>
          </w:p>
        </w:tc>
      </w:tr>
      <w:tr w14:paraId="6482C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3C4ACB9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80</w:t>
            </w:r>
          </w:p>
        </w:tc>
        <w:tc>
          <w:tcPr>
            <w:tcW w:w="5386" w:type="dxa"/>
            <w:vAlign w:val="center"/>
          </w:tcPr>
          <w:p w14:paraId="4E45886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教材选用、征订与供应管理办法</w:t>
            </w:r>
          </w:p>
        </w:tc>
        <w:tc>
          <w:tcPr>
            <w:tcW w:w="1701" w:type="dxa"/>
            <w:vAlign w:val="center"/>
          </w:tcPr>
          <w:p w14:paraId="6E940D6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2015年制度汇编</w:t>
            </w:r>
          </w:p>
        </w:tc>
        <w:tc>
          <w:tcPr>
            <w:tcW w:w="1134" w:type="dxa"/>
            <w:vAlign w:val="center"/>
          </w:tcPr>
          <w:p w14:paraId="726DF8F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教务处</w:t>
            </w:r>
          </w:p>
        </w:tc>
      </w:tr>
      <w:tr w14:paraId="673B4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5004E57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81</w:t>
            </w:r>
          </w:p>
        </w:tc>
        <w:tc>
          <w:tcPr>
            <w:tcW w:w="5386" w:type="dxa"/>
            <w:vAlign w:val="center"/>
          </w:tcPr>
          <w:p w14:paraId="6220621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南京机电职业技术学院专业班主任评价办法(试行稿)</w:t>
            </w:r>
          </w:p>
        </w:tc>
        <w:tc>
          <w:tcPr>
            <w:tcW w:w="1701" w:type="dxa"/>
            <w:vAlign w:val="center"/>
          </w:tcPr>
          <w:p w14:paraId="6F24975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南机电院〔2019〕24号</w:t>
            </w:r>
          </w:p>
        </w:tc>
        <w:tc>
          <w:tcPr>
            <w:tcW w:w="1134" w:type="dxa"/>
            <w:vAlign w:val="center"/>
          </w:tcPr>
          <w:p w14:paraId="739DA48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教务处</w:t>
            </w:r>
          </w:p>
        </w:tc>
      </w:tr>
      <w:tr w14:paraId="413F2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2454C78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82</w:t>
            </w:r>
          </w:p>
        </w:tc>
        <w:tc>
          <w:tcPr>
            <w:tcW w:w="5386" w:type="dxa"/>
            <w:vAlign w:val="center"/>
          </w:tcPr>
          <w:p w14:paraId="786C31D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教材建设与管理办法</w:t>
            </w:r>
          </w:p>
        </w:tc>
        <w:tc>
          <w:tcPr>
            <w:tcW w:w="1701" w:type="dxa"/>
            <w:vAlign w:val="center"/>
          </w:tcPr>
          <w:p w14:paraId="04DB8E7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2015年制度汇编</w:t>
            </w:r>
          </w:p>
        </w:tc>
        <w:tc>
          <w:tcPr>
            <w:tcW w:w="1134" w:type="dxa"/>
            <w:vAlign w:val="center"/>
          </w:tcPr>
          <w:p w14:paraId="1E8A884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教务处</w:t>
            </w:r>
          </w:p>
        </w:tc>
      </w:tr>
      <w:tr w14:paraId="47BCB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66FD247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83</w:t>
            </w:r>
          </w:p>
        </w:tc>
        <w:tc>
          <w:tcPr>
            <w:tcW w:w="5386" w:type="dxa"/>
            <w:vAlign w:val="center"/>
          </w:tcPr>
          <w:p w14:paraId="5CB0DCB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实践性教学环节实施细则</w:t>
            </w:r>
          </w:p>
        </w:tc>
        <w:tc>
          <w:tcPr>
            <w:tcW w:w="1701" w:type="dxa"/>
            <w:vAlign w:val="center"/>
          </w:tcPr>
          <w:p w14:paraId="3EB82F2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2015年制度汇编</w:t>
            </w:r>
          </w:p>
        </w:tc>
        <w:tc>
          <w:tcPr>
            <w:tcW w:w="1134" w:type="dxa"/>
            <w:vAlign w:val="center"/>
          </w:tcPr>
          <w:p w14:paraId="76718AF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教务处</w:t>
            </w:r>
          </w:p>
        </w:tc>
      </w:tr>
      <w:tr w14:paraId="05241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581F333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84</w:t>
            </w:r>
          </w:p>
        </w:tc>
        <w:tc>
          <w:tcPr>
            <w:tcW w:w="5386" w:type="dxa"/>
            <w:vAlign w:val="center"/>
          </w:tcPr>
          <w:p w14:paraId="26D29F5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校内实训基地建设与管理办法</w:t>
            </w:r>
          </w:p>
        </w:tc>
        <w:tc>
          <w:tcPr>
            <w:tcW w:w="1701" w:type="dxa"/>
            <w:vAlign w:val="center"/>
          </w:tcPr>
          <w:p w14:paraId="02F59CF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2015年制度汇编</w:t>
            </w:r>
          </w:p>
        </w:tc>
        <w:tc>
          <w:tcPr>
            <w:tcW w:w="1134" w:type="dxa"/>
            <w:vAlign w:val="center"/>
          </w:tcPr>
          <w:p w14:paraId="4277E9C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教务处</w:t>
            </w:r>
          </w:p>
        </w:tc>
      </w:tr>
      <w:tr w14:paraId="33230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1F016F3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85</w:t>
            </w:r>
          </w:p>
        </w:tc>
        <w:tc>
          <w:tcPr>
            <w:tcW w:w="5386" w:type="dxa"/>
            <w:vAlign w:val="center"/>
          </w:tcPr>
          <w:p w14:paraId="4551E1B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实践课程指导书选用与编印制度</w:t>
            </w:r>
          </w:p>
        </w:tc>
        <w:tc>
          <w:tcPr>
            <w:tcW w:w="1701" w:type="dxa"/>
            <w:vAlign w:val="center"/>
          </w:tcPr>
          <w:p w14:paraId="6671A1F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2015年制度汇编</w:t>
            </w:r>
          </w:p>
        </w:tc>
        <w:tc>
          <w:tcPr>
            <w:tcW w:w="1134" w:type="dxa"/>
            <w:vAlign w:val="center"/>
          </w:tcPr>
          <w:p w14:paraId="7A56956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教务处</w:t>
            </w:r>
          </w:p>
        </w:tc>
      </w:tr>
      <w:tr w14:paraId="1AA25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0861E28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86</w:t>
            </w:r>
          </w:p>
        </w:tc>
        <w:tc>
          <w:tcPr>
            <w:tcW w:w="5386" w:type="dxa"/>
            <w:vAlign w:val="center"/>
          </w:tcPr>
          <w:p w14:paraId="7C55839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实验实训教学工作管理规范</w:t>
            </w:r>
          </w:p>
        </w:tc>
        <w:tc>
          <w:tcPr>
            <w:tcW w:w="1701" w:type="dxa"/>
            <w:vAlign w:val="center"/>
          </w:tcPr>
          <w:p w14:paraId="7390B2A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2015年制度汇编</w:t>
            </w:r>
          </w:p>
        </w:tc>
        <w:tc>
          <w:tcPr>
            <w:tcW w:w="1134" w:type="dxa"/>
            <w:vAlign w:val="center"/>
          </w:tcPr>
          <w:p w14:paraId="1980FCF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教务处</w:t>
            </w:r>
          </w:p>
        </w:tc>
      </w:tr>
      <w:tr w14:paraId="3888D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17106D7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87</w:t>
            </w:r>
          </w:p>
        </w:tc>
        <w:tc>
          <w:tcPr>
            <w:tcW w:w="5386" w:type="dxa"/>
            <w:vAlign w:val="center"/>
          </w:tcPr>
          <w:p w14:paraId="453B9DF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毕业设计工作管理规范</w:t>
            </w:r>
          </w:p>
        </w:tc>
        <w:tc>
          <w:tcPr>
            <w:tcW w:w="1701" w:type="dxa"/>
            <w:vAlign w:val="center"/>
          </w:tcPr>
          <w:p w14:paraId="59A88AE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2015年制度汇编</w:t>
            </w:r>
          </w:p>
        </w:tc>
        <w:tc>
          <w:tcPr>
            <w:tcW w:w="1134" w:type="dxa"/>
            <w:vAlign w:val="center"/>
          </w:tcPr>
          <w:p w14:paraId="1EE6144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教务处</w:t>
            </w:r>
          </w:p>
        </w:tc>
      </w:tr>
      <w:tr w14:paraId="7777C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048CFB6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88</w:t>
            </w:r>
          </w:p>
        </w:tc>
        <w:tc>
          <w:tcPr>
            <w:tcW w:w="5386" w:type="dxa"/>
            <w:vAlign w:val="center"/>
          </w:tcPr>
          <w:p w14:paraId="6832F04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课程设计工作管理规范</w:t>
            </w:r>
          </w:p>
        </w:tc>
        <w:tc>
          <w:tcPr>
            <w:tcW w:w="1701" w:type="dxa"/>
            <w:vAlign w:val="center"/>
          </w:tcPr>
          <w:p w14:paraId="6DF771E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2015年制度汇编</w:t>
            </w:r>
          </w:p>
        </w:tc>
        <w:tc>
          <w:tcPr>
            <w:tcW w:w="1134" w:type="dxa"/>
            <w:vAlign w:val="center"/>
          </w:tcPr>
          <w:p w14:paraId="3C5DDF0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教务处</w:t>
            </w:r>
          </w:p>
        </w:tc>
      </w:tr>
      <w:tr w14:paraId="3EA15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2DB9768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89</w:t>
            </w:r>
          </w:p>
        </w:tc>
        <w:tc>
          <w:tcPr>
            <w:tcW w:w="5386" w:type="dxa"/>
            <w:vAlign w:val="center"/>
          </w:tcPr>
          <w:p w14:paraId="3B1C24B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工学交替校外实习管理办法</w:t>
            </w:r>
          </w:p>
        </w:tc>
        <w:tc>
          <w:tcPr>
            <w:tcW w:w="1701" w:type="dxa"/>
            <w:vAlign w:val="center"/>
          </w:tcPr>
          <w:p w14:paraId="3D72892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2015年制度汇编</w:t>
            </w:r>
          </w:p>
        </w:tc>
        <w:tc>
          <w:tcPr>
            <w:tcW w:w="1134" w:type="dxa"/>
            <w:vAlign w:val="center"/>
          </w:tcPr>
          <w:p w14:paraId="39BF655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教务处</w:t>
            </w:r>
          </w:p>
        </w:tc>
      </w:tr>
      <w:tr w14:paraId="169D1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55CAD44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90</w:t>
            </w:r>
          </w:p>
        </w:tc>
        <w:tc>
          <w:tcPr>
            <w:tcW w:w="5386" w:type="dxa"/>
            <w:vAlign w:val="center"/>
          </w:tcPr>
          <w:p w14:paraId="02AF8AC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实验实训室工作档案管理制度</w:t>
            </w:r>
          </w:p>
        </w:tc>
        <w:tc>
          <w:tcPr>
            <w:tcW w:w="1701" w:type="dxa"/>
            <w:vAlign w:val="center"/>
          </w:tcPr>
          <w:p w14:paraId="5D19F7B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2015年制度汇编</w:t>
            </w:r>
          </w:p>
        </w:tc>
        <w:tc>
          <w:tcPr>
            <w:tcW w:w="1134" w:type="dxa"/>
            <w:vAlign w:val="center"/>
          </w:tcPr>
          <w:p w14:paraId="509386F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教务处</w:t>
            </w:r>
          </w:p>
        </w:tc>
      </w:tr>
      <w:tr w14:paraId="7AB5C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48B43E8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91</w:t>
            </w:r>
          </w:p>
        </w:tc>
        <w:tc>
          <w:tcPr>
            <w:tcW w:w="5386" w:type="dxa"/>
            <w:vAlign w:val="center"/>
          </w:tcPr>
          <w:p w14:paraId="22AE9C3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教学实验实训室守则</w:t>
            </w:r>
          </w:p>
        </w:tc>
        <w:tc>
          <w:tcPr>
            <w:tcW w:w="1701" w:type="dxa"/>
            <w:vAlign w:val="center"/>
          </w:tcPr>
          <w:p w14:paraId="72179C1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2015年制度汇编</w:t>
            </w:r>
          </w:p>
        </w:tc>
        <w:tc>
          <w:tcPr>
            <w:tcW w:w="1134" w:type="dxa"/>
            <w:vAlign w:val="center"/>
          </w:tcPr>
          <w:p w14:paraId="7B4EDF5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教务处</w:t>
            </w:r>
          </w:p>
        </w:tc>
      </w:tr>
      <w:tr w14:paraId="2080C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3A65C01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92</w:t>
            </w:r>
          </w:p>
        </w:tc>
        <w:tc>
          <w:tcPr>
            <w:tcW w:w="5386" w:type="dxa"/>
            <w:vAlign w:val="center"/>
          </w:tcPr>
          <w:p w14:paraId="52E7A99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实验实训场所“7S”现场管理实施办法</w:t>
            </w:r>
          </w:p>
        </w:tc>
        <w:tc>
          <w:tcPr>
            <w:tcW w:w="1701" w:type="dxa"/>
            <w:vAlign w:val="center"/>
          </w:tcPr>
          <w:p w14:paraId="180E988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2015年制度汇编</w:t>
            </w:r>
          </w:p>
        </w:tc>
        <w:tc>
          <w:tcPr>
            <w:tcW w:w="1134" w:type="dxa"/>
            <w:vAlign w:val="center"/>
          </w:tcPr>
          <w:p w14:paraId="79F31D0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教务处</w:t>
            </w:r>
          </w:p>
        </w:tc>
      </w:tr>
      <w:tr w14:paraId="4896D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6251A82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93</w:t>
            </w:r>
          </w:p>
        </w:tc>
        <w:tc>
          <w:tcPr>
            <w:tcW w:w="5386" w:type="dxa"/>
            <w:vAlign w:val="center"/>
          </w:tcPr>
          <w:p w14:paraId="562A03C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南京机电职业技术学院困难补助资金使用办法（暂行）</w:t>
            </w:r>
          </w:p>
        </w:tc>
        <w:tc>
          <w:tcPr>
            <w:tcW w:w="1701" w:type="dxa"/>
            <w:vAlign w:val="center"/>
          </w:tcPr>
          <w:p w14:paraId="68B19BF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南机电院学〔2022〕28号</w:t>
            </w:r>
          </w:p>
        </w:tc>
        <w:tc>
          <w:tcPr>
            <w:tcW w:w="1134" w:type="dxa"/>
            <w:vAlign w:val="center"/>
          </w:tcPr>
          <w:p w14:paraId="3E205EF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学生工作处</w:t>
            </w:r>
          </w:p>
        </w:tc>
      </w:tr>
      <w:tr w14:paraId="4B557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39176EE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94</w:t>
            </w:r>
          </w:p>
        </w:tc>
        <w:tc>
          <w:tcPr>
            <w:tcW w:w="5386" w:type="dxa"/>
            <w:vAlign w:val="center"/>
          </w:tcPr>
          <w:p w14:paraId="6BA001C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南京机电职业技术学院资助资金使用管理办法</w:t>
            </w:r>
          </w:p>
        </w:tc>
        <w:tc>
          <w:tcPr>
            <w:tcW w:w="1701" w:type="dxa"/>
            <w:vAlign w:val="center"/>
          </w:tcPr>
          <w:p w14:paraId="4A253F9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南机电院学〔2022〕30号</w:t>
            </w:r>
          </w:p>
        </w:tc>
        <w:tc>
          <w:tcPr>
            <w:tcW w:w="1134" w:type="dxa"/>
            <w:vAlign w:val="center"/>
          </w:tcPr>
          <w:p w14:paraId="31951D2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学生工作处</w:t>
            </w:r>
          </w:p>
        </w:tc>
      </w:tr>
      <w:tr w14:paraId="25276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00BCBDB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95</w:t>
            </w:r>
          </w:p>
        </w:tc>
        <w:tc>
          <w:tcPr>
            <w:tcW w:w="5386" w:type="dxa"/>
            <w:vAlign w:val="center"/>
          </w:tcPr>
          <w:p w14:paraId="40C36C7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南京机电职业技术学院企业奖（助）学金管理办法（试行）</w:t>
            </w:r>
          </w:p>
        </w:tc>
        <w:tc>
          <w:tcPr>
            <w:tcW w:w="1701" w:type="dxa"/>
            <w:vAlign w:val="center"/>
          </w:tcPr>
          <w:p w14:paraId="7C658A5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南机电院学〔2023〕19号</w:t>
            </w:r>
          </w:p>
        </w:tc>
        <w:tc>
          <w:tcPr>
            <w:tcW w:w="1134" w:type="dxa"/>
            <w:vAlign w:val="center"/>
          </w:tcPr>
          <w:p w14:paraId="114CB63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学生工作处</w:t>
            </w:r>
          </w:p>
        </w:tc>
      </w:tr>
      <w:tr w14:paraId="79B96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7E64717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96</w:t>
            </w:r>
          </w:p>
        </w:tc>
        <w:tc>
          <w:tcPr>
            <w:tcW w:w="5386" w:type="dxa"/>
            <w:vAlign w:val="center"/>
          </w:tcPr>
          <w:p w14:paraId="4BDFF7A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南京机电职业技术学院国家助学金评定办法（2023年修订）</w:t>
            </w:r>
          </w:p>
        </w:tc>
        <w:tc>
          <w:tcPr>
            <w:tcW w:w="1701" w:type="dxa"/>
            <w:vAlign w:val="center"/>
          </w:tcPr>
          <w:p w14:paraId="2BC2592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南机电院学〔2023〕41号</w:t>
            </w:r>
          </w:p>
        </w:tc>
        <w:tc>
          <w:tcPr>
            <w:tcW w:w="1134" w:type="dxa"/>
            <w:vAlign w:val="center"/>
          </w:tcPr>
          <w:p w14:paraId="02DBE4C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学生工作处</w:t>
            </w:r>
          </w:p>
        </w:tc>
      </w:tr>
      <w:tr w14:paraId="5A840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35856E4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97</w:t>
            </w:r>
          </w:p>
        </w:tc>
        <w:tc>
          <w:tcPr>
            <w:tcW w:w="5386" w:type="dxa"/>
            <w:vAlign w:val="center"/>
          </w:tcPr>
          <w:p w14:paraId="588ECB6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南京机电职业技术学院学生奖励评审办法</w:t>
            </w:r>
          </w:p>
        </w:tc>
        <w:tc>
          <w:tcPr>
            <w:tcW w:w="1701" w:type="dxa"/>
            <w:vAlign w:val="center"/>
          </w:tcPr>
          <w:p w14:paraId="2BBC833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南机电院学〔2023〕42号</w:t>
            </w:r>
          </w:p>
        </w:tc>
        <w:tc>
          <w:tcPr>
            <w:tcW w:w="1134" w:type="dxa"/>
            <w:vAlign w:val="center"/>
          </w:tcPr>
          <w:p w14:paraId="52F2726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学生工作处</w:t>
            </w:r>
          </w:p>
        </w:tc>
      </w:tr>
      <w:tr w14:paraId="38E1C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2DE6DE4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98</w:t>
            </w:r>
          </w:p>
        </w:tc>
        <w:tc>
          <w:tcPr>
            <w:tcW w:w="5386" w:type="dxa"/>
            <w:vAlign w:val="center"/>
          </w:tcPr>
          <w:p w14:paraId="274AAF1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南京机电职业技术学院星级文明宿舍评比办法（试行）</w:t>
            </w:r>
          </w:p>
        </w:tc>
        <w:tc>
          <w:tcPr>
            <w:tcW w:w="1701" w:type="dxa"/>
            <w:vAlign w:val="center"/>
          </w:tcPr>
          <w:p w14:paraId="283CB0D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南机电院学〔2023〕30号</w:t>
            </w:r>
          </w:p>
        </w:tc>
        <w:tc>
          <w:tcPr>
            <w:tcW w:w="1134" w:type="dxa"/>
            <w:vAlign w:val="center"/>
          </w:tcPr>
          <w:p w14:paraId="201950B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学生工作处</w:t>
            </w:r>
          </w:p>
        </w:tc>
      </w:tr>
      <w:tr w14:paraId="7722F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6E6CD7D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99</w:t>
            </w:r>
          </w:p>
        </w:tc>
        <w:tc>
          <w:tcPr>
            <w:tcW w:w="5386" w:type="dxa"/>
            <w:vAlign w:val="center"/>
          </w:tcPr>
          <w:p w14:paraId="5F00504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南京机电职业技术学院学生公寓7S管理办法（试行）</w:t>
            </w:r>
          </w:p>
        </w:tc>
        <w:tc>
          <w:tcPr>
            <w:tcW w:w="1701" w:type="dxa"/>
            <w:vAlign w:val="center"/>
          </w:tcPr>
          <w:p w14:paraId="73DEE6B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南机电院学〔2023〕31号</w:t>
            </w:r>
          </w:p>
        </w:tc>
        <w:tc>
          <w:tcPr>
            <w:tcW w:w="1134" w:type="dxa"/>
            <w:vAlign w:val="center"/>
          </w:tcPr>
          <w:p w14:paraId="79EE216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学生工作处</w:t>
            </w:r>
          </w:p>
        </w:tc>
      </w:tr>
      <w:tr w14:paraId="337F5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525B1A1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100</w:t>
            </w:r>
          </w:p>
        </w:tc>
        <w:tc>
          <w:tcPr>
            <w:tcW w:w="5386" w:type="dxa"/>
            <w:vAlign w:val="center"/>
          </w:tcPr>
          <w:p w14:paraId="0CD2697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南京机电职业技术学院学生公寓管理及损坏赔偿办法（试行）</w:t>
            </w:r>
          </w:p>
        </w:tc>
        <w:tc>
          <w:tcPr>
            <w:tcW w:w="1701" w:type="dxa"/>
            <w:vAlign w:val="center"/>
          </w:tcPr>
          <w:p w14:paraId="6999B33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南机电院学〔2023〕32号</w:t>
            </w:r>
          </w:p>
        </w:tc>
        <w:tc>
          <w:tcPr>
            <w:tcW w:w="1134" w:type="dxa"/>
            <w:vAlign w:val="center"/>
          </w:tcPr>
          <w:p w14:paraId="15650B9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学生工作处</w:t>
            </w:r>
          </w:p>
        </w:tc>
      </w:tr>
      <w:tr w14:paraId="578C5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0352EC2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101</w:t>
            </w:r>
          </w:p>
        </w:tc>
        <w:tc>
          <w:tcPr>
            <w:tcW w:w="5386" w:type="dxa"/>
            <w:vAlign w:val="center"/>
          </w:tcPr>
          <w:p w14:paraId="45ACE4C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南京机电职业技术学院学生公寓管理规定（试行）</w:t>
            </w:r>
          </w:p>
        </w:tc>
        <w:tc>
          <w:tcPr>
            <w:tcW w:w="1701" w:type="dxa"/>
            <w:vAlign w:val="center"/>
          </w:tcPr>
          <w:p w14:paraId="59CB767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南机电院学〔2023〕33号</w:t>
            </w:r>
          </w:p>
        </w:tc>
        <w:tc>
          <w:tcPr>
            <w:tcW w:w="1134" w:type="dxa"/>
            <w:vAlign w:val="center"/>
          </w:tcPr>
          <w:p w14:paraId="522C7A9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学生工作处</w:t>
            </w:r>
          </w:p>
        </w:tc>
      </w:tr>
      <w:tr w14:paraId="7CB1D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2352ACD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102</w:t>
            </w:r>
          </w:p>
        </w:tc>
        <w:tc>
          <w:tcPr>
            <w:tcW w:w="5386" w:type="dxa"/>
            <w:vAlign w:val="center"/>
          </w:tcPr>
          <w:p w14:paraId="3047721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南京机电职业技术学院学生公寓来访客管理制度（试行）</w:t>
            </w:r>
          </w:p>
        </w:tc>
        <w:tc>
          <w:tcPr>
            <w:tcW w:w="1701" w:type="dxa"/>
            <w:vAlign w:val="center"/>
          </w:tcPr>
          <w:p w14:paraId="4872252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南机电院学〔2023〕36号</w:t>
            </w:r>
          </w:p>
        </w:tc>
        <w:tc>
          <w:tcPr>
            <w:tcW w:w="1134" w:type="dxa"/>
            <w:vAlign w:val="center"/>
          </w:tcPr>
          <w:p w14:paraId="73A1D8A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学生工作处</w:t>
            </w:r>
          </w:p>
        </w:tc>
      </w:tr>
      <w:tr w14:paraId="61DB5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55CE8AE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103</w:t>
            </w:r>
          </w:p>
        </w:tc>
        <w:tc>
          <w:tcPr>
            <w:tcW w:w="5386" w:type="dxa"/>
            <w:vAlign w:val="center"/>
          </w:tcPr>
          <w:p w14:paraId="688D1B6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南京机电职业技术学院学生公寓就寝考勤制度（试行）</w:t>
            </w:r>
          </w:p>
        </w:tc>
        <w:tc>
          <w:tcPr>
            <w:tcW w:w="1701" w:type="dxa"/>
            <w:vAlign w:val="center"/>
          </w:tcPr>
          <w:p w14:paraId="57549B3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南机电院学〔2023〕35号</w:t>
            </w:r>
          </w:p>
        </w:tc>
        <w:tc>
          <w:tcPr>
            <w:tcW w:w="1134" w:type="dxa"/>
            <w:vAlign w:val="center"/>
          </w:tcPr>
          <w:p w14:paraId="039500C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学生工作处</w:t>
            </w:r>
          </w:p>
        </w:tc>
      </w:tr>
      <w:tr w14:paraId="41709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3EEA346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104</w:t>
            </w:r>
          </w:p>
        </w:tc>
        <w:tc>
          <w:tcPr>
            <w:tcW w:w="5386" w:type="dxa"/>
            <w:vAlign w:val="center"/>
          </w:tcPr>
          <w:p w14:paraId="491DBA8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南京机电职业技术学院学生公寓物业管理考核办法（试行）</w:t>
            </w:r>
          </w:p>
        </w:tc>
        <w:tc>
          <w:tcPr>
            <w:tcW w:w="1701" w:type="dxa"/>
            <w:vAlign w:val="center"/>
          </w:tcPr>
          <w:p w14:paraId="1F08603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南机电院学〔2023〕37号</w:t>
            </w:r>
          </w:p>
        </w:tc>
        <w:tc>
          <w:tcPr>
            <w:tcW w:w="1134" w:type="dxa"/>
            <w:vAlign w:val="center"/>
          </w:tcPr>
          <w:p w14:paraId="5DA05E4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学生工作处</w:t>
            </w:r>
          </w:p>
        </w:tc>
      </w:tr>
      <w:tr w14:paraId="211CE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28D3559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105</w:t>
            </w:r>
          </w:p>
        </w:tc>
        <w:tc>
          <w:tcPr>
            <w:tcW w:w="5386" w:type="dxa"/>
            <w:vAlign w:val="center"/>
          </w:tcPr>
          <w:p w14:paraId="416E533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南京机电职业技术学院学生公寓宣传品张贴、发放管理规定（试行）</w:t>
            </w:r>
          </w:p>
        </w:tc>
        <w:tc>
          <w:tcPr>
            <w:tcW w:w="1701" w:type="dxa"/>
            <w:vAlign w:val="center"/>
          </w:tcPr>
          <w:p w14:paraId="3BFAA0A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南机电院学〔2023〕38号</w:t>
            </w:r>
          </w:p>
        </w:tc>
        <w:tc>
          <w:tcPr>
            <w:tcW w:w="1134" w:type="dxa"/>
            <w:vAlign w:val="center"/>
          </w:tcPr>
          <w:p w14:paraId="168C3A6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学生工作处</w:t>
            </w:r>
          </w:p>
        </w:tc>
      </w:tr>
      <w:tr w14:paraId="0C68D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01EA68A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106</w:t>
            </w:r>
          </w:p>
        </w:tc>
        <w:tc>
          <w:tcPr>
            <w:tcW w:w="5386" w:type="dxa"/>
            <w:vAlign w:val="center"/>
          </w:tcPr>
          <w:p w14:paraId="2295CD7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南京机电职业技术学院学生校外住宿管理规定（试行）</w:t>
            </w:r>
          </w:p>
        </w:tc>
        <w:tc>
          <w:tcPr>
            <w:tcW w:w="1701" w:type="dxa"/>
            <w:vAlign w:val="center"/>
          </w:tcPr>
          <w:p w14:paraId="141C741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南机电院学〔2023〕39号</w:t>
            </w:r>
          </w:p>
        </w:tc>
        <w:tc>
          <w:tcPr>
            <w:tcW w:w="1134" w:type="dxa"/>
            <w:vAlign w:val="center"/>
          </w:tcPr>
          <w:p w14:paraId="542B605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学生工作处</w:t>
            </w:r>
          </w:p>
        </w:tc>
      </w:tr>
      <w:tr w14:paraId="243E0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52F3A02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107</w:t>
            </w:r>
          </w:p>
        </w:tc>
        <w:tc>
          <w:tcPr>
            <w:tcW w:w="5386" w:type="dxa"/>
            <w:vAlign w:val="center"/>
          </w:tcPr>
          <w:p w14:paraId="1B9AA99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学生顶岗实习管理办法(修订)</w:t>
            </w:r>
          </w:p>
        </w:tc>
        <w:tc>
          <w:tcPr>
            <w:tcW w:w="1701" w:type="dxa"/>
            <w:vAlign w:val="center"/>
          </w:tcPr>
          <w:p w14:paraId="14F42C6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南机电院〔2015〕35号</w:t>
            </w:r>
          </w:p>
        </w:tc>
        <w:tc>
          <w:tcPr>
            <w:tcW w:w="1134" w:type="dxa"/>
            <w:vAlign w:val="center"/>
          </w:tcPr>
          <w:p w14:paraId="5F70E53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学生工作处</w:t>
            </w:r>
          </w:p>
        </w:tc>
      </w:tr>
      <w:tr w14:paraId="0A659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06439C5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108</w:t>
            </w:r>
          </w:p>
        </w:tc>
        <w:tc>
          <w:tcPr>
            <w:tcW w:w="5386" w:type="dxa"/>
            <w:vAlign w:val="center"/>
          </w:tcPr>
          <w:p w14:paraId="283BDD8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南京机电职业技术学院就业经费管理办法</w:t>
            </w:r>
          </w:p>
        </w:tc>
        <w:tc>
          <w:tcPr>
            <w:tcW w:w="1701" w:type="dxa"/>
            <w:vAlign w:val="center"/>
          </w:tcPr>
          <w:p w14:paraId="07DCF47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南机电院〔2021〕47号</w:t>
            </w:r>
          </w:p>
        </w:tc>
        <w:tc>
          <w:tcPr>
            <w:tcW w:w="1134" w:type="dxa"/>
            <w:vAlign w:val="center"/>
          </w:tcPr>
          <w:p w14:paraId="3ABC2F4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学生工作处</w:t>
            </w:r>
          </w:p>
        </w:tc>
      </w:tr>
      <w:tr w14:paraId="4BCB7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00A8223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109</w:t>
            </w:r>
          </w:p>
        </w:tc>
        <w:tc>
          <w:tcPr>
            <w:tcW w:w="5386" w:type="dxa"/>
            <w:vAlign w:val="center"/>
          </w:tcPr>
          <w:p w14:paraId="6913752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南京机电职业技术学院学生顶岗实习管理办法（修订）</w:t>
            </w:r>
          </w:p>
        </w:tc>
        <w:tc>
          <w:tcPr>
            <w:tcW w:w="1701" w:type="dxa"/>
            <w:vAlign w:val="center"/>
          </w:tcPr>
          <w:p w14:paraId="18B2D5D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南机电院〔2021〕52号</w:t>
            </w:r>
          </w:p>
        </w:tc>
        <w:tc>
          <w:tcPr>
            <w:tcW w:w="1134" w:type="dxa"/>
            <w:vAlign w:val="center"/>
          </w:tcPr>
          <w:p w14:paraId="106AE0F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学生工作处</w:t>
            </w:r>
          </w:p>
        </w:tc>
      </w:tr>
      <w:tr w14:paraId="07578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4090186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110</w:t>
            </w:r>
          </w:p>
        </w:tc>
        <w:tc>
          <w:tcPr>
            <w:tcW w:w="5386" w:type="dxa"/>
            <w:vAlign w:val="center"/>
          </w:tcPr>
          <w:p w14:paraId="0161578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南京机电职业技术学院学生岗位实习管理办法(修订)</w:t>
            </w:r>
          </w:p>
        </w:tc>
        <w:tc>
          <w:tcPr>
            <w:tcW w:w="1701" w:type="dxa"/>
            <w:vAlign w:val="center"/>
          </w:tcPr>
          <w:p w14:paraId="5185E96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南机电院〔2022〕22号</w:t>
            </w:r>
          </w:p>
        </w:tc>
        <w:tc>
          <w:tcPr>
            <w:tcW w:w="1134" w:type="dxa"/>
            <w:vAlign w:val="center"/>
          </w:tcPr>
          <w:p w14:paraId="48119DC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学生工作处</w:t>
            </w:r>
          </w:p>
        </w:tc>
      </w:tr>
      <w:tr w14:paraId="029FF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2113F05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111</w:t>
            </w:r>
          </w:p>
        </w:tc>
        <w:tc>
          <w:tcPr>
            <w:tcW w:w="5386" w:type="dxa"/>
            <w:vAlign w:val="center"/>
          </w:tcPr>
          <w:p w14:paraId="1512ADC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关于印发《南京机电职业技术学院系部就创业工作量化表（2018年修订）》的通知</w:t>
            </w:r>
          </w:p>
        </w:tc>
        <w:tc>
          <w:tcPr>
            <w:tcW w:w="1701" w:type="dxa"/>
            <w:vAlign w:val="center"/>
          </w:tcPr>
          <w:p w14:paraId="3C4D49C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南机电院学〔2018〕3号</w:t>
            </w:r>
          </w:p>
        </w:tc>
        <w:tc>
          <w:tcPr>
            <w:tcW w:w="1134" w:type="dxa"/>
            <w:vAlign w:val="center"/>
          </w:tcPr>
          <w:p w14:paraId="5B22E21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学生工作处</w:t>
            </w:r>
          </w:p>
        </w:tc>
      </w:tr>
      <w:tr w14:paraId="644B9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31893DD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112</w:t>
            </w:r>
          </w:p>
        </w:tc>
        <w:tc>
          <w:tcPr>
            <w:tcW w:w="5386" w:type="dxa"/>
            <w:vAlign w:val="center"/>
          </w:tcPr>
          <w:p w14:paraId="7C52BE4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南京机电职业技术学院就业创业工作考核办法</w:t>
            </w:r>
          </w:p>
        </w:tc>
        <w:tc>
          <w:tcPr>
            <w:tcW w:w="1701" w:type="dxa"/>
            <w:vAlign w:val="center"/>
          </w:tcPr>
          <w:p w14:paraId="316C579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南机电院学〔2019〕2号</w:t>
            </w:r>
          </w:p>
        </w:tc>
        <w:tc>
          <w:tcPr>
            <w:tcW w:w="1134" w:type="dxa"/>
            <w:vAlign w:val="center"/>
          </w:tcPr>
          <w:p w14:paraId="78AED5C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学生工作处</w:t>
            </w:r>
          </w:p>
        </w:tc>
      </w:tr>
      <w:tr w14:paraId="403F0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5F5D703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113</w:t>
            </w:r>
          </w:p>
        </w:tc>
        <w:tc>
          <w:tcPr>
            <w:tcW w:w="5386" w:type="dxa"/>
            <w:vAlign w:val="center"/>
          </w:tcPr>
          <w:p w14:paraId="1FEFCB4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南京机电职业技术学院招生经费管理办法</w:t>
            </w:r>
          </w:p>
        </w:tc>
        <w:tc>
          <w:tcPr>
            <w:tcW w:w="1701" w:type="dxa"/>
            <w:vAlign w:val="center"/>
          </w:tcPr>
          <w:p w14:paraId="5A4ACCB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南机电院〔2021〕43号</w:t>
            </w:r>
          </w:p>
        </w:tc>
        <w:tc>
          <w:tcPr>
            <w:tcW w:w="1134" w:type="dxa"/>
            <w:vAlign w:val="center"/>
          </w:tcPr>
          <w:p w14:paraId="60DD39D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学生工作处</w:t>
            </w:r>
          </w:p>
        </w:tc>
      </w:tr>
      <w:tr w14:paraId="7D2D3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2AEE7B1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114</w:t>
            </w:r>
          </w:p>
        </w:tc>
        <w:tc>
          <w:tcPr>
            <w:tcW w:w="5386" w:type="dxa"/>
            <w:vAlign w:val="center"/>
          </w:tcPr>
          <w:p w14:paraId="1870957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南京机电职业技术学院招生交通费用使用管理办法</w:t>
            </w:r>
          </w:p>
        </w:tc>
        <w:tc>
          <w:tcPr>
            <w:tcW w:w="1701" w:type="dxa"/>
            <w:vAlign w:val="center"/>
          </w:tcPr>
          <w:p w14:paraId="7053ECE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南机电院〔2021〕44号</w:t>
            </w:r>
          </w:p>
        </w:tc>
        <w:tc>
          <w:tcPr>
            <w:tcW w:w="1134" w:type="dxa"/>
            <w:vAlign w:val="center"/>
          </w:tcPr>
          <w:p w14:paraId="6E768AF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学生工作处</w:t>
            </w:r>
          </w:p>
        </w:tc>
      </w:tr>
      <w:tr w14:paraId="6EA0A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2F24602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115</w:t>
            </w:r>
          </w:p>
        </w:tc>
        <w:tc>
          <w:tcPr>
            <w:tcW w:w="5386" w:type="dxa"/>
            <w:vAlign w:val="center"/>
          </w:tcPr>
          <w:p w14:paraId="0BE8F3E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南京机电职业技术学院招生就业出差团体保险管理办法</w:t>
            </w:r>
          </w:p>
        </w:tc>
        <w:tc>
          <w:tcPr>
            <w:tcW w:w="1701" w:type="dxa"/>
            <w:vAlign w:val="center"/>
          </w:tcPr>
          <w:p w14:paraId="7575D62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南机电院〔2021〕45号</w:t>
            </w:r>
          </w:p>
        </w:tc>
        <w:tc>
          <w:tcPr>
            <w:tcW w:w="1134" w:type="dxa"/>
            <w:vAlign w:val="center"/>
          </w:tcPr>
          <w:p w14:paraId="03969F9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学生工作处</w:t>
            </w:r>
          </w:p>
        </w:tc>
      </w:tr>
      <w:tr w14:paraId="3DC2C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06F5716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116</w:t>
            </w:r>
          </w:p>
        </w:tc>
        <w:tc>
          <w:tcPr>
            <w:tcW w:w="5386" w:type="dxa"/>
            <w:vAlign w:val="center"/>
          </w:tcPr>
          <w:p w14:paraId="3337D52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2023年南京机电职业技术学院江苏高职提前招生章程</w:t>
            </w:r>
          </w:p>
        </w:tc>
        <w:tc>
          <w:tcPr>
            <w:tcW w:w="1701" w:type="dxa"/>
            <w:vAlign w:val="center"/>
          </w:tcPr>
          <w:p w14:paraId="3E5CD90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南机电院〔2023〕7号</w:t>
            </w:r>
          </w:p>
        </w:tc>
        <w:tc>
          <w:tcPr>
            <w:tcW w:w="1134" w:type="dxa"/>
            <w:vAlign w:val="center"/>
          </w:tcPr>
          <w:p w14:paraId="4D6D758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学生工作处</w:t>
            </w:r>
          </w:p>
        </w:tc>
      </w:tr>
      <w:tr w14:paraId="3C592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0AE1E85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117</w:t>
            </w:r>
          </w:p>
        </w:tc>
        <w:tc>
          <w:tcPr>
            <w:tcW w:w="5386" w:type="dxa"/>
            <w:vAlign w:val="center"/>
          </w:tcPr>
          <w:p w14:paraId="5134182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南京机电职业技术学院全日制普通招生工作管理办法（修订）</w:t>
            </w:r>
          </w:p>
        </w:tc>
        <w:tc>
          <w:tcPr>
            <w:tcW w:w="1701" w:type="dxa"/>
            <w:vAlign w:val="center"/>
          </w:tcPr>
          <w:p w14:paraId="405EE30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南机电院〔2025〕33号</w:t>
            </w:r>
          </w:p>
        </w:tc>
        <w:tc>
          <w:tcPr>
            <w:tcW w:w="1134" w:type="dxa"/>
            <w:vAlign w:val="center"/>
          </w:tcPr>
          <w:p w14:paraId="054F215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学生工作处</w:t>
            </w:r>
          </w:p>
        </w:tc>
      </w:tr>
      <w:tr w14:paraId="31EA1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18CACDB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118</w:t>
            </w:r>
          </w:p>
        </w:tc>
        <w:tc>
          <w:tcPr>
            <w:tcW w:w="5386" w:type="dxa"/>
            <w:vAlign w:val="center"/>
          </w:tcPr>
          <w:p w14:paraId="22B0DC6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南京机电职业技术学院辅导员工作量化考核办法</w:t>
            </w:r>
          </w:p>
        </w:tc>
        <w:tc>
          <w:tcPr>
            <w:tcW w:w="1701" w:type="dxa"/>
            <w:vAlign w:val="center"/>
          </w:tcPr>
          <w:p w14:paraId="660E4FE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南机电院学〔2017〕27号</w:t>
            </w:r>
          </w:p>
        </w:tc>
        <w:tc>
          <w:tcPr>
            <w:tcW w:w="1134" w:type="dxa"/>
            <w:vAlign w:val="center"/>
          </w:tcPr>
          <w:p w14:paraId="129A276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学生工作处</w:t>
            </w:r>
          </w:p>
        </w:tc>
      </w:tr>
      <w:tr w14:paraId="39A6A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4153D0B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119</w:t>
            </w:r>
          </w:p>
        </w:tc>
        <w:tc>
          <w:tcPr>
            <w:tcW w:w="5386" w:type="dxa"/>
            <w:vAlign w:val="center"/>
          </w:tcPr>
          <w:p w14:paraId="4FFAAA5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南京机电职业技术学院系部大学生健康成长教育工作考核办法</w:t>
            </w:r>
          </w:p>
        </w:tc>
        <w:tc>
          <w:tcPr>
            <w:tcW w:w="1701" w:type="dxa"/>
            <w:vAlign w:val="center"/>
          </w:tcPr>
          <w:p w14:paraId="012B4F2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南机电院学〔2019〕38号</w:t>
            </w:r>
          </w:p>
        </w:tc>
        <w:tc>
          <w:tcPr>
            <w:tcW w:w="1134" w:type="dxa"/>
            <w:vAlign w:val="center"/>
          </w:tcPr>
          <w:p w14:paraId="5C31823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学生工作处</w:t>
            </w:r>
          </w:p>
        </w:tc>
      </w:tr>
      <w:tr w14:paraId="26D7D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2A023D8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120</w:t>
            </w:r>
          </w:p>
        </w:tc>
        <w:tc>
          <w:tcPr>
            <w:tcW w:w="5386" w:type="dxa"/>
            <w:vAlign w:val="center"/>
          </w:tcPr>
          <w:p w14:paraId="0345507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南京机电职业技术学院人才培养状态数据采集平台建设管理规定</w:t>
            </w:r>
          </w:p>
        </w:tc>
        <w:tc>
          <w:tcPr>
            <w:tcW w:w="1701" w:type="dxa"/>
            <w:vAlign w:val="center"/>
          </w:tcPr>
          <w:p w14:paraId="356C4E3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南机电质〔2019〕5号</w:t>
            </w:r>
          </w:p>
        </w:tc>
        <w:tc>
          <w:tcPr>
            <w:tcW w:w="1134" w:type="dxa"/>
            <w:vAlign w:val="center"/>
          </w:tcPr>
          <w:p w14:paraId="2742FDA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质量管理与控制办公室</w:t>
            </w:r>
          </w:p>
        </w:tc>
      </w:tr>
      <w:tr w14:paraId="5F7DC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2BD9DCD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121</w:t>
            </w:r>
          </w:p>
        </w:tc>
        <w:tc>
          <w:tcPr>
            <w:tcW w:w="5386" w:type="dxa"/>
            <w:vAlign w:val="center"/>
          </w:tcPr>
          <w:p w14:paraId="1911BBB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南京机电职业技术学院教育事业统计工作管理办法（试行）</w:t>
            </w:r>
          </w:p>
        </w:tc>
        <w:tc>
          <w:tcPr>
            <w:tcW w:w="1701" w:type="dxa"/>
            <w:vAlign w:val="center"/>
          </w:tcPr>
          <w:p w14:paraId="5A2288B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南机电院〔2020〕50号</w:t>
            </w:r>
          </w:p>
        </w:tc>
        <w:tc>
          <w:tcPr>
            <w:tcW w:w="1134" w:type="dxa"/>
            <w:vAlign w:val="center"/>
          </w:tcPr>
          <w:p w14:paraId="53C83CA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质量管理与控制办公室</w:t>
            </w:r>
          </w:p>
        </w:tc>
      </w:tr>
      <w:tr w14:paraId="658DE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54257F8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122</w:t>
            </w:r>
          </w:p>
        </w:tc>
        <w:tc>
          <w:tcPr>
            <w:tcW w:w="5386" w:type="dxa"/>
            <w:vAlign w:val="center"/>
          </w:tcPr>
          <w:p w14:paraId="33E0541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南京机电职业技术学院学生信息员工作制度</w:t>
            </w:r>
          </w:p>
        </w:tc>
        <w:tc>
          <w:tcPr>
            <w:tcW w:w="1701" w:type="dxa"/>
            <w:vAlign w:val="center"/>
          </w:tcPr>
          <w:p w14:paraId="70E80C8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2015年制度汇编</w:t>
            </w:r>
          </w:p>
        </w:tc>
        <w:tc>
          <w:tcPr>
            <w:tcW w:w="1134" w:type="dxa"/>
            <w:vAlign w:val="center"/>
          </w:tcPr>
          <w:p w14:paraId="1396665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质量管理与控制办公室</w:t>
            </w:r>
          </w:p>
        </w:tc>
      </w:tr>
      <w:tr w14:paraId="17C40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4B93646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123</w:t>
            </w:r>
          </w:p>
        </w:tc>
        <w:tc>
          <w:tcPr>
            <w:tcW w:w="5386" w:type="dxa"/>
            <w:vAlign w:val="center"/>
          </w:tcPr>
          <w:p w14:paraId="57BA85A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关于修订《南京机电职业技术学院科研工作量考核及奖励办法》的通知</w:t>
            </w:r>
          </w:p>
        </w:tc>
        <w:tc>
          <w:tcPr>
            <w:tcW w:w="1701" w:type="dxa"/>
            <w:vAlign w:val="center"/>
          </w:tcPr>
          <w:p w14:paraId="58C0D8F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南机电院〔2023〕70号</w:t>
            </w:r>
          </w:p>
        </w:tc>
        <w:tc>
          <w:tcPr>
            <w:tcW w:w="1134" w:type="dxa"/>
            <w:vAlign w:val="center"/>
          </w:tcPr>
          <w:p w14:paraId="4A3689C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科研及校企合作处</w:t>
            </w:r>
          </w:p>
        </w:tc>
      </w:tr>
      <w:tr w14:paraId="13823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06E7180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124</w:t>
            </w:r>
          </w:p>
        </w:tc>
        <w:tc>
          <w:tcPr>
            <w:tcW w:w="5386" w:type="dxa"/>
            <w:vAlign w:val="center"/>
          </w:tcPr>
          <w:p w14:paraId="0FA449E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南京机电职业技术学院科学研究行为规范及管理办法</w:t>
            </w:r>
          </w:p>
        </w:tc>
        <w:tc>
          <w:tcPr>
            <w:tcW w:w="1701" w:type="dxa"/>
            <w:vAlign w:val="center"/>
          </w:tcPr>
          <w:p w14:paraId="402330F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2015制度汇编</w:t>
            </w:r>
          </w:p>
        </w:tc>
        <w:tc>
          <w:tcPr>
            <w:tcW w:w="1134" w:type="dxa"/>
            <w:vAlign w:val="center"/>
          </w:tcPr>
          <w:p w14:paraId="11B89EE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科研及校企合作处</w:t>
            </w:r>
          </w:p>
        </w:tc>
      </w:tr>
      <w:tr w14:paraId="31E89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4548641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125</w:t>
            </w:r>
          </w:p>
        </w:tc>
        <w:tc>
          <w:tcPr>
            <w:tcW w:w="5386" w:type="dxa"/>
            <w:vAlign w:val="center"/>
          </w:tcPr>
          <w:p w14:paraId="0A1B3AC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南京机电职业技术学院专利申请事前评估管理办法</w:t>
            </w:r>
          </w:p>
        </w:tc>
        <w:tc>
          <w:tcPr>
            <w:tcW w:w="1701" w:type="dxa"/>
            <w:vAlign w:val="center"/>
          </w:tcPr>
          <w:p w14:paraId="798960B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南机电院〔2022〕18号</w:t>
            </w:r>
          </w:p>
        </w:tc>
        <w:tc>
          <w:tcPr>
            <w:tcW w:w="1134" w:type="dxa"/>
            <w:vAlign w:val="center"/>
          </w:tcPr>
          <w:p w14:paraId="4F0BF76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科研及校企合作处</w:t>
            </w:r>
          </w:p>
        </w:tc>
      </w:tr>
      <w:tr w14:paraId="0030A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6D4479C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126</w:t>
            </w:r>
          </w:p>
        </w:tc>
        <w:tc>
          <w:tcPr>
            <w:tcW w:w="5386" w:type="dxa"/>
            <w:vAlign w:val="center"/>
          </w:tcPr>
          <w:p w14:paraId="4CDB44C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南京机电职业技术学院校企合作管理办法（试行）</w:t>
            </w:r>
          </w:p>
        </w:tc>
        <w:tc>
          <w:tcPr>
            <w:tcW w:w="1701" w:type="dxa"/>
            <w:vAlign w:val="center"/>
          </w:tcPr>
          <w:p w14:paraId="529E746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2015制度汇编</w:t>
            </w:r>
          </w:p>
        </w:tc>
        <w:tc>
          <w:tcPr>
            <w:tcW w:w="1134" w:type="dxa"/>
            <w:vAlign w:val="center"/>
          </w:tcPr>
          <w:p w14:paraId="6EE4066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科研及校企合作处</w:t>
            </w:r>
          </w:p>
        </w:tc>
      </w:tr>
      <w:tr w14:paraId="7AA5A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5B98BA4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127</w:t>
            </w:r>
          </w:p>
        </w:tc>
        <w:tc>
          <w:tcPr>
            <w:tcW w:w="5386" w:type="dxa"/>
            <w:vAlign w:val="center"/>
          </w:tcPr>
          <w:p w14:paraId="509C251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南京机电职业技术学院校外实习基地管理办法</w:t>
            </w:r>
          </w:p>
        </w:tc>
        <w:tc>
          <w:tcPr>
            <w:tcW w:w="1701" w:type="dxa"/>
            <w:vAlign w:val="center"/>
          </w:tcPr>
          <w:p w14:paraId="599826E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2015制度汇编</w:t>
            </w:r>
          </w:p>
        </w:tc>
        <w:tc>
          <w:tcPr>
            <w:tcW w:w="1134" w:type="dxa"/>
            <w:vAlign w:val="center"/>
          </w:tcPr>
          <w:p w14:paraId="0D2C5D7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科研及校企合作处</w:t>
            </w:r>
          </w:p>
        </w:tc>
      </w:tr>
      <w:tr w14:paraId="41DAE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46DEF82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128</w:t>
            </w:r>
          </w:p>
        </w:tc>
        <w:tc>
          <w:tcPr>
            <w:tcW w:w="5386" w:type="dxa"/>
            <w:vAlign w:val="center"/>
          </w:tcPr>
          <w:p w14:paraId="29AF3D2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南京机电职业技术学院校企合作“分层建设、分类管理”实施办法</w:t>
            </w:r>
          </w:p>
        </w:tc>
        <w:tc>
          <w:tcPr>
            <w:tcW w:w="1701" w:type="dxa"/>
            <w:vAlign w:val="center"/>
          </w:tcPr>
          <w:p w14:paraId="61AB2FF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2015制度汇编</w:t>
            </w:r>
          </w:p>
        </w:tc>
        <w:tc>
          <w:tcPr>
            <w:tcW w:w="1134" w:type="dxa"/>
            <w:vAlign w:val="center"/>
          </w:tcPr>
          <w:p w14:paraId="613A81F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科研及校企合作处</w:t>
            </w:r>
          </w:p>
        </w:tc>
      </w:tr>
      <w:tr w14:paraId="4DDF1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1B73021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129</w:t>
            </w:r>
          </w:p>
        </w:tc>
        <w:tc>
          <w:tcPr>
            <w:tcW w:w="5386" w:type="dxa"/>
            <w:vAlign w:val="center"/>
          </w:tcPr>
          <w:p w14:paraId="15F0049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南京机电职业技术学院蓝岛创客空间种子基金管理规定</w:t>
            </w:r>
          </w:p>
        </w:tc>
        <w:tc>
          <w:tcPr>
            <w:tcW w:w="1701" w:type="dxa"/>
            <w:vAlign w:val="center"/>
          </w:tcPr>
          <w:p w14:paraId="2AF78D3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南机电院〔2020〕3号</w:t>
            </w:r>
          </w:p>
        </w:tc>
        <w:tc>
          <w:tcPr>
            <w:tcW w:w="1134" w:type="dxa"/>
            <w:vAlign w:val="center"/>
          </w:tcPr>
          <w:p w14:paraId="3CD54AB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蓝岛创客空间</w:t>
            </w:r>
          </w:p>
        </w:tc>
      </w:tr>
      <w:tr w14:paraId="42000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4EFBA65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130</w:t>
            </w:r>
          </w:p>
        </w:tc>
        <w:tc>
          <w:tcPr>
            <w:tcW w:w="5386" w:type="dxa"/>
            <w:vAlign w:val="center"/>
          </w:tcPr>
          <w:p w14:paraId="0C23341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南京机电职业技术学院创客项目经费使用管理办法</w:t>
            </w:r>
          </w:p>
        </w:tc>
        <w:tc>
          <w:tcPr>
            <w:tcW w:w="1701" w:type="dxa"/>
            <w:vAlign w:val="center"/>
          </w:tcPr>
          <w:p w14:paraId="63D29B2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南机电院〔2021〕54号</w:t>
            </w:r>
          </w:p>
        </w:tc>
        <w:tc>
          <w:tcPr>
            <w:tcW w:w="1134" w:type="dxa"/>
            <w:vAlign w:val="center"/>
          </w:tcPr>
          <w:p w14:paraId="119D653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蓝岛创客空间</w:t>
            </w:r>
          </w:p>
        </w:tc>
      </w:tr>
      <w:tr w14:paraId="26A41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5D57B59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131</w:t>
            </w:r>
          </w:p>
        </w:tc>
        <w:tc>
          <w:tcPr>
            <w:tcW w:w="5386" w:type="dxa"/>
            <w:vAlign w:val="center"/>
          </w:tcPr>
          <w:p w14:paraId="039BF83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南京机电职业技术学院大学生创业入驻管理办法（试行）</w:t>
            </w:r>
          </w:p>
        </w:tc>
        <w:tc>
          <w:tcPr>
            <w:tcW w:w="1701" w:type="dxa"/>
            <w:vAlign w:val="center"/>
          </w:tcPr>
          <w:p w14:paraId="7231AA2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南机电院〔2023〕42号</w:t>
            </w:r>
          </w:p>
        </w:tc>
        <w:tc>
          <w:tcPr>
            <w:tcW w:w="1134" w:type="dxa"/>
            <w:vAlign w:val="center"/>
          </w:tcPr>
          <w:p w14:paraId="5187221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蓝岛创客空间</w:t>
            </w:r>
          </w:p>
        </w:tc>
      </w:tr>
      <w:tr w14:paraId="343A8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4696E28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132</w:t>
            </w:r>
          </w:p>
        </w:tc>
        <w:tc>
          <w:tcPr>
            <w:tcW w:w="5386" w:type="dxa"/>
            <w:vAlign w:val="center"/>
          </w:tcPr>
          <w:p w14:paraId="0094A1F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南京机电职业技术学院培训工作管理办法</w:t>
            </w:r>
          </w:p>
        </w:tc>
        <w:tc>
          <w:tcPr>
            <w:tcW w:w="1701" w:type="dxa"/>
            <w:vAlign w:val="center"/>
          </w:tcPr>
          <w:p w14:paraId="27E3998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南机电院培〔2023〕61号</w:t>
            </w:r>
          </w:p>
        </w:tc>
        <w:tc>
          <w:tcPr>
            <w:tcW w:w="1134" w:type="dxa"/>
            <w:vAlign w:val="center"/>
          </w:tcPr>
          <w:p w14:paraId="0400D1F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培训处</w:t>
            </w:r>
          </w:p>
        </w:tc>
      </w:tr>
      <w:tr w14:paraId="4C2B3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310553A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133</w:t>
            </w:r>
          </w:p>
        </w:tc>
        <w:tc>
          <w:tcPr>
            <w:tcW w:w="5386" w:type="dxa"/>
            <w:vAlign w:val="center"/>
          </w:tcPr>
          <w:p w14:paraId="47AFAB5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关于印发《学院校园交通安全管理规定》的通知</w:t>
            </w:r>
          </w:p>
        </w:tc>
        <w:tc>
          <w:tcPr>
            <w:tcW w:w="1701" w:type="dxa"/>
            <w:vAlign w:val="center"/>
          </w:tcPr>
          <w:p w14:paraId="09C8370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南机电院〔2015〕8号</w:t>
            </w:r>
          </w:p>
        </w:tc>
        <w:tc>
          <w:tcPr>
            <w:tcW w:w="1134" w:type="dxa"/>
            <w:vAlign w:val="center"/>
          </w:tcPr>
          <w:p w14:paraId="39BF063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保卫处</w:t>
            </w:r>
          </w:p>
        </w:tc>
      </w:tr>
      <w:tr w14:paraId="10CE4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37F4699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134</w:t>
            </w:r>
          </w:p>
        </w:tc>
        <w:tc>
          <w:tcPr>
            <w:tcW w:w="5386" w:type="dxa"/>
            <w:vAlign w:val="center"/>
          </w:tcPr>
          <w:p w14:paraId="2DC4EF8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关于印发《学院校园秩序管理规定》和《学院外来务工人员安全管理规定》的通知</w:t>
            </w:r>
          </w:p>
        </w:tc>
        <w:tc>
          <w:tcPr>
            <w:tcW w:w="1701" w:type="dxa"/>
            <w:vAlign w:val="center"/>
          </w:tcPr>
          <w:p w14:paraId="56FE9C5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南机电院〔2015〕10号</w:t>
            </w:r>
          </w:p>
        </w:tc>
        <w:tc>
          <w:tcPr>
            <w:tcW w:w="1134" w:type="dxa"/>
            <w:vAlign w:val="center"/>
          </w:tcPr>
          <w:p w14:paraId="5BC7BD1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保卫处</w:t>
            </w:r>
          </w:p>
        </w:tc>
      </w:tr>
      <w:tr w14:paraId="76DB1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32444CB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135</w:t>
            </w:r>
          </w:p>
        </w:tc>
        <w:tc>
          <w:tcPr>
            <w:tcW w:w="5386" w:type="dxa"/>
            <w:vAlign w:val="center"/>
          </w:tcPr>
          <w:p w14:paraId="4D393AD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关于印发《学院消防安全管理规定》《学院重点要害部位安全管理规定》的通知</w:t>
            </w:r>
          </w:p>
        </w:tc>
        <w:tc>
          <w:tcPr>
            <w:tcW w:w="1701" w:type="dxa"/>
            <w:vAlign w:val="center"/>
          </w:tcPr>
          <w:p w14:paraId="3FABB62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南机电院〔2015〕14号</w:t>
            </w:r>
          </w:p>
        </w:tc>
        <w:tc>
          <w:tcPr>
            <w:tcW w:w="1134" w:type="dxa"/>
            <w:vAlign w:val="center"/>
          </w:tcPr>
          <w:p w14:paraId="5D803E3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保卫处</w:t>
            </w:r>
          </w:p>
        </w:tc>
      </w:tr>
      <w:tr w14:paraId="23759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05D5DB2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136</w:t>
            </w:r>
          </w:p>
        </w:tc>
        <w:tc>
          <w:tcPr>
            <w:tcW w:w="5386" w:type="dxa"/>
            <w:vAlign w:val="center"/>
          </w:tcPr>
          <w:p w14:paraId="4BAC378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南京机电职业技术学院公共卫生管理办法（修订）</w:t>
            </w:r>
          </w:p>
        </w:tc>
        <w:tc>
          <w:tcPr>
            <w:tcW w:w="1701" w:type="dxa"/>
            <w:vAlign w:val="center"/>
          </w:tcPr>
          <w:p w14:paraId="22293E0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南机电院〔2015〕26号</w:t>
            </w:r>
          </w:p>
        </w:tc>
        <w:tc>
          <w:tcPr>
            <w:tcW w:w="1134" w:type="dxa"/>
            <w:vAlign w:val="center"/>
          </w:tcPr>
          <w:p w14:paraId="3DE7C74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后勤处</w:t>
            </w:r>
          </w:p>
        </w:tc>
      </w:tr>
      <w:tr w14:paraId="20052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76AAA88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137</w:t>
            </w:r>
          </w:p>
        </w:tc>
        <w:tc>
          <w:tcPr>
            <w:tcW w:w="5386" w:type="dxa"/>
            <w:vAlign w:val="center"/>
          </w:tcPr>
          <w:p w14:paraId="2D7DF3F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南京机电职业技术学院传染病预防控制管理制度(试行)</w:t>
            </w:r>
          </w:p>
        </w:tc>
        <w:tc>
          <w:tcPr>
            <w:tcW w:w="1701" w:type="dxa"/>
            <w:vAlign w:val="center"/>
          </w:tcPr>
          <w:p w14:paraId="0581E21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南机电院〔2015〕28号</w:t>
            </w:r>
          </w:p>
        </w:tc>
        <w:tc>
          <w:tcPr>
            <w:tcW w:w="1134" w:type="dxa"/>
            <w:vAlign w:val="center"/>
          </w:tcPr>
          <w:p w14:paraId="26E436D2">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后勤处</w:t>
            </w:r>
          </w:p>
        </w:tc>
      </w:tr>
      <w:tr w14:paraId="46950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526A6BF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138</w:t>
            </w:r>
          </w:p>
        </w:tc>
        <w:tc>
          <w:tcPr>
            <w:tcW w:w="5386" w:type="dxa"/>
            <w:vAlign w:val="center"/>
          </w:tcPr>
          <w:p w14:paraId="1A34E3F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南京机电职业技术学院水电管理制度（修订）</w:t>
            </w:r>
          </w:p>
        </w:tc>
        <w:tc>
          <w:tcPr>
            <w:tcW w:w="1701" w:type="dxa"/>
            <w:vAlign w:val="center"/>
          </w:tcPr>
          <w:p w14:paraId="4C217FA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南机电院〔2015〕29号</w:t>
            </w:r>
          </w:p>
        </w:tc>
        <w:tc>
          <w:tcPr>
            <w:tcW w:w="1134" w:type="dxa"/>
            <w:vAlign w:val="center"/>
          </w:tcPr>
          <w:p w14:paraId="22C7E44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后勤处</w:t>
            </w:r>
          </w:p>
        </w:tc>
      </w:tr>
      <w:tr w14:paraId="77F40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1044AC9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139</w:t>
            </w:r>
          </w:p>
        </w:tc>
        <w:tc>
          <w:tcPr>
            <w:tcW w:w="5386" w:type="dxa"/>
            <w:vAlign w:val="center"/>
          </w:tcPr>
          <w:p w14:paraId="3C86625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校园商业经营活动管理办法（试行）</w:t>
            </w:r>
          </w:p>
        </w:tc>
        <w:tc>
          <w:tcPr>
            <w:tcW w:w="1701" w:type="dxa"/>
            <w:vAlign w:val="center"/>
          </w:tcPr>
          <w:p w14:paraId="21CDB00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南机电院〔2015〕30号</w:t>
            </w:r>
          </w:p>
        </w:tc>
        <w:tc>
          <w:tcPr>
            <w:tcW w:w="1134" w:type="dxa"/>
            <w:vAlign w:val="center"/>
          </w:tcPr>
          <w:p w14:paraId="60DD7E84">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后勤处</w:t>
            </w:r>
          </w:p>
        </w:tc>
      </w:tr>
      <w:tr w14:paraId="1115E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63C8822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140</w:t>
            </w:r>
          </w:p>
        </w:tc>
        <w:tc>
          <w:tcPr>
            <w:tcW w:w="5386" w:type="dxa"/>
            <w:vAlign w:val="center"/>
          </w:tcPr>
          <w:p w14:paraId="286E523D">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南京机电职业技术学院校园安全责任金及其奖惩办法（试行）</w:t>
            </w:r>
          </w:p>
        </w:tc>
        <w:tc>
          <w:tcPr>
            <w:tcW w:w="1701" w:type="dxa"/>
            <w:vAlign w:val="center"/>
          </w:tcPr>
          <w:p w14:paraId="3B8FEB5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南机电院安〔2021〕29号</w:t>
            </w:r>
          </w:p>
        </w:tc>
        <w:tc>
          <w:tcPr>
            <w:tcW w:w="1134" w:type="dxa"/>
            <w:vAlign w:val="center"/>
          </w:tcPr>
          <w:p w14:paraId="53A237C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保卫处</w:t>
            </w:r>
          </w:p>
        </w:tc>
      </w:tr>
      <w:tr w14:paraId="5A7DF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496F18E5">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141</w:t>
            </w:r>
          </w:p>
        </w:tc>
        <w:tc>
          <w:tcPr>
            <w:tcW w:w="5386" w:type="dxa"/>
            <w:vAlign w:val="center"/>
          </w:tcPr>
          <w:p w14:paraId="656D896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关于印发《食堂（超市）食品卫生安全管理制度》的通知</w:t>
            </w:r>
          </w:p>
        </w:tc>
        <w:tc>
          <w:tcPr>
            <w:tcW w:w="1701" w:type="dxa"/>
            <w:vAlign w:val="center"/>
          </w:tcPr>
          <w:p w14:paraId="3AC1DD0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南机电院勤〔2015〕1号</w:t>
            </w:r>
          </w:p>
        </w:tc>
        <w:tc>
          <w:tcPr>
            <w:tcW w:w="1134" w:type="dxa"/>
            <w:vAlign w:val="center"/>
          </w:tcPr>
          <w:p w14:paraId="2DBF077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后勤处</w:t>
            </w:r>
          </w:p>
        </w:tc>
      </w:tr>
      <w:tr w14:paraId="474B6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07D6558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142</w:t>
            </w:r>
          </w:p>
        </w:tc>
        <w:tc>
          <w:tcPr>
            <w:tcW w:w="5386" w:type="dxa"/>
            <w:vAlign w:val="center"/>
          </w:tcPr>
          <w:p w14:paraId="4EE7D59C">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食堂量化管理考核办法（修订）</w:t>
            </w:r>
          </w:p>
        </w:tc>
        <w:tc>
          <w:tcPr>
            <w:tcW w:w="1701" w:type="dxa"/>
            <w:vAlign w:val="center"/>
          </w:tcPr>
          <w:p w14:paraId="32D4A377">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南机电院勤〔2015〕3号</w:t>
            </w:r>
          </w:p>
        </w:tc>
        <w:tc>
          <w:tcPr>
            <w:tcW w:w="1134" w:type="dxa"/>
            <w:vAlign w:val="center"/>
          </w:tcPr>
          <w:p w14:paraId="73BEAF3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后勤处</w:t>
            </w:r>
          </w:p>
        </w:tc>
      </w:tr>
      <w:tr w14:paraId="2842E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2410A3F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143</w:t>
            </w:r>
          </w:p>
        </w:tc>
        <w:tc>
          <w:tcPr>
            <w:tcW w:w="5386" w:type="dxa"/>
            <w:vAlign w:val="center"/>
          </w:tcPr>
          <w:p w14:paraId="65E878B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关于印发《配电房安全管理制度系列》的通知</w:t>
            </w:r>
          </w:p>
        </w:tc>
        <w:tc>
          <w:tcPr>
            <w:tcW w:w="1701" w:type="dxa"/>
            <w:vAlign w:val="center"/>
          </w:tcPr>
          <w:p w14:paraId="11A14BE9">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南机电院勤〔2015〕4号</w:t>
            </w:r>
          </w:p>
        </w:tc>
        <w:tc>
          <w:tcPr>
            <w:tcW w:w="1134" w:type="dxa"/>
            <w:vAlign w:val="center"/>
          </w:tcPr>
          <w:p w14:paraId="17FE126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后勤处</w:t>
            </w:r>
          </w:p>
        </w:tc>
      </w:tr>
      <w:tr w14:paraId="4FDC7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0FF0EF9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144</w:t>
            </w:r>
          </w:p>
        </w:tc>
        <w:tc>
          <w:tcPr>
            <w:tcW w:w="5386" w:type="dxa"/>
            <w:vAlign w:val="center"/>
          </w:tcPr>
          <w:p w14:paraId="1842883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房屋及构筑物安全检查制度（试行）</w:t>
            </w:r>
          </w:p>
        </w:tc>
        <w:tc>
          <w:tcPr>
            <w:tcW w:w="1701" w:type="dxa"/>
            <w:vAlign w:val="center"/>
          </w:tcPr>
          <w:p w14:paraId="15837AA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南机电院勤〔2015〕6号</w:t>
            </w:r>
          </w:p>
        </w:tc>
        <w:tc>
          <w:tcPr>
            <w:tcW w:w="1134" w:type="dxa"/>
            <w:vAlign w:val="center"/>
          </w:tcPr>
          <w:p w14:paraId="2286A27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后勤处</w:t>
            </w:r>
          </w:p>
        </w:tc>
      </w:tr>
      <w:tr w14:paraId="6F103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18BDC29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145</w:t>
            </w:r>
          </w:p>
        </w:tc>
        <w:tc>
          <w:tcPr>
            <w:tcW w:w="5386" w:type="dxa"/>
            <w:vAlign w:val="center"/>
          </w:tcPr>
          <w:p w14:paraId="27C4EB4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南京机电职业技术学院物业服务管理考核办法（试行）</w:t>
            </w:r>
          </w:p>
        </w:tc>
        <w:tc>
          <w:tcPr>
            <w:tcW w:w="1701" w:type="dxa"/>
            <w:vAlign w:val="center"/>
          </w:tcPr>
          <w:p w14:paraId="4EA5636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南机电院勤〔2021〕1号</w:t>
            </w:r>
          </w:p>
        </w:tc>
        <w:tc>
          <w:tcPr>
            <w:tcW w:w="1134" w:type="dxa"/>
            <w:vAlign w:val="center"/>
          </w:tcPr>
          <w:p w14:paraId="7441E50E">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后勤处</w:t>
            </w:r>
          </w:p>
        </w:tc>
      </w:tr>
      <w:tr w14:paraId="1C27D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2B3F4608">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146</w:t>
            </w:r>
          </w:p>
        </w:tc>
        <w:tc>
          <w:tcPr>
            <w:tcW w:w="5386" w:type="dxa"/>
            <w:vAlign w:val="center"/>
          </w:tcPr>
          <w:p w14:paraId="3996F570">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南京机电职业技术学院驻校服务单位管理考核办法（试行）</w:t>
            </w:r>
          </w:p>
        </w:tc>
        <w:tc>
          <w:tcPr>
            <w:tcW w:w="1701" w:type="dxa"/>
            <w:vAlign w:val="center"/>
          </w:tcPr>
          <w:p w14:paraId="63B744AF">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南机电院勤〔2021〕2号</w:t>
            </w:r>
          </w:p>
        </w:tc>
        <w:tc>
          <w:tcPr>
            <w:tcW w:w="1134" w:type="dxa"/>
            <w:vAlign w:val="center"/>
          </w:tcPr>
          <w:p w14:paraId="7E3E7146">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后勤处</w:t>
            </w:r>
          </w:p>
        </w:tc>
      </w:tr>
      <w:tr w14:paraId="7F0ED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08726F61">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147</w:t>
            </w:r>
          </w:p>
        </w:tc>
        <w:tc>
          <w:tcPr>
            <w:tcW w:w="5386" w:type="dxa"/>
            <w:vAlign w:val="center"/>
          </w:tcPr>
          <w:p w14:paraId="37D1EE7A">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南京机电职业技术学院档案管理办法</w:t>
            </w:r>
          </w:p>
        </w:tc>
        <w:tc>
          <w:tcPr>
            <w:tcW w:w="1701" w:type="dxa"/>
            <w:vAlign w:val="center"/>
          </w:tcPr>
          <w:p w14:paraId="4109566B">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南机电院（2024）18号</w:t>
            </w:r>
          </w:p>
        </w:tc>
        <w:tc>
          <w:tcPr>
            <w:tcW w:w="1134" w:type="dxa"/>
            <w:vAlign w:val="center"/>
          </w:tcPr>
          <w:p w14:paraId="6E4CD093">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方正仿宋_GBK" w:cs="Times New Roman"/>
                <w:sz w:val="21"/>
                <w:szCs w:val="21"/>
              </w:rPr>
            </w:pPr>
            <w:r>
              <w:rPr>
                <w:rFonts w:hint="default" w:ascii="Times New Roman" w:hAnsi="Times New Roman" w:eastAsia="方正仿宋_GBK" w:cs="Times New Roman"/>
                <w:sz w:val="21"/>
                <w:szCs w:val="21"/>
              </w:rPr>
              <w:t>图书馆</w:t>
            </w:r>
          </w:p>
        </w:tc>
      </w:tr>
    </w:tbl>
    <w:p w14:paraId="4387E737">
      <w:pPr>
        <w:rPr>
          <w:rFonts w:hint="default" w:ascii="Times New Roman" w:hAnsi="Times New Roman" w:eastAsia="方正仿宋_GBK" w:cs="Times New Roman"/>
          <w:sz w:val="21"/>
          <w:szCs w:val="21"/>
        </w:rPr>
      </w:pPr>
      <w:bookmarkStart w:id="0" w:name="_GoBack"/>
      <w:bookmarkEnd w:id="0"/>
    </w:p>
    <w:sectPr>
      <w:pgSz w:w="11906" w:h="16838"/>
      <w:pgMar w:top="1134" w:right="1020" w:bottom="1417" w:left="102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ＭＳ 明朝">
    <w:altName w:val="Yu Gothic"/>
    <w:panose1 w:val="00000000000000000000"/>
    <w:charset w:val="80"/>
    <w:family w:val="roman"/>
    <w:pitch w:val="default"/>
    <w:sig w:usb0="00000000" w:usb1="00000000" w:usb2="00000010" w:usb3="00000000" w:csb0="00020000" w:csb1="00000000"/>
  </w:font>
  <w:font w:name="Yu Gothic">
    <w:panose1 w:val="020B0400000000000000"/>
    <w:charset w:val="80"/>
    <w:family w:val="auto"/>
    <w:pitch w:val="default"/>
    <w:sig w:usb0="E00002FF" w:usb1="2AC7FDFF" w:usb2="00000016" w:usb3="00000000" w:csb0="2002009F" w:csb1="00000000"/>
  </w:font>
  <w:font w:name="ＭＳ 明朝">
    <w:altName w:val="宋体"/>
    <w:panose1 w:val="00000000000000000000"/>
    <w:charset w:val="86"/>
    <w:family w:val="auto"/>
    <w:pitch w:val="default"/>
    <w:sig w:usb0="00000000" w:usb1="00000000" w:usb2="00000000" w:usb3="00000000" w:csb0="00000000" w:csb1="00000000"/>
  </w:font>
  <w:font w:name="MS Gothic">
    <w:panose1 w:val="020B0609070205080204"/>
    <w:charset w:val="80"/>
    <w:family w:val="auto"/>
    <w:pitch w:val="default"/>
    <w:sig w:usb0="E00002FF" w:usb1="6AC7FDFB" w:usb2="08000012" w:usb3="00000000" w:csb0="4002009F" w:csb1="DFD70000"/>
  </w:font>
  <w:font w:name="Courier">
    <w:altName w:val="Courier New"/>
    <w:panose1 w:val="02000500000000000000"/>
    <w:charset w:val="00"/>
    <w:family w:val="auto"/>
    <w:pitch w:val="default"/>
    <w:sig w:usb0="00000000" w:usb1="00000000" w:usb2="00000000" w:usb3="00000000" w:csb0="00000001" w:csb1="00000000"/>
  </w:font>
  <w:font w:name="方正小标宋_GBK">
    <w:panose1 w:val="03000509000000000000"/>
    <w:charset w:val="86"/>
    <w:family w:val="auto"/>
    <w:pitch w:val="default"/>
    <w:sig w:usb0="00000001" w:usb1="080E0000" w:usb2="00000000" w:usb3="00000000" w:csb0="00040000" w:csb1="00000000"/>
    <w:embedRegular r:id="rId1" w:fontKey="{EE52DF04-383E-4BA0-AFF5-7B28B6714C57}"/>
  </w:font>
  <w:font w:name="方正仿宋_GBK">
    <w:panose1 w:val="03000509000000000000"/>
    <w:charset w:val="86"/>
    <w:family w:val="auto"/>
    <w:pitch w:val="default"/>
    <w:sig w:usb0="00000001" w:usb1="080E0000" w:usb2="00000000" w:usb3="00000000" w:csb0="00040000" w:csb1="00000000"/>
    <w:embedRegular r:id="rId2" w:fontKey="{6C9D4A04-280F-4FFD-943D-9364501EA8B4}"/>
  </w:font>
  <w:font w:name="ＭＳ 明朝">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E"/>
    <w:multiLevelType w:val="singleLevel"/>
    <w:tmpl w:val="FFFFFF7E"/>
    <w:lvl w:ilvl="0" w:tentative="0">
      <w:start w:val="1"/>
      <w:numFmt w:val="decimal"/>
      <w:pStyle w:val="20"/>
      <w:lvlText w:val="%1."/>
      <w:lvlJc w:val="left"/>
      <w:pPr>
        <w:tabs>
          <w:tab w:val="left" w:pos="1080"/>
        </w:tabs>
        <w:ind w:left="1080" w:hanging="360"/>
      </w:pPr>
    </w:lvl>
  </w:abstractNum>
  <w:abstractNum w:abstractNumId="1">
    <w:nsid w:val="FFFFFF7F"/>
    <w:multiLevelType w:val="singleLevel"/>
    <w:tmpl w:val="FFFFFF7F"/>
    <w:lvl w:ilvl="0" w:tentative="0">
      <w:start w:val="1"/>
      <w:numFmt w:val="decimal"/>
      <w:pStyle w:val="13"/>
      <w:lvlText w:val="%1."/>
      <w:lvlJc w:val="left"/>
      <w:pPr>
        <w:tabs>
          <w:tab w:val="left" w:pos="720"/>
        </w:tabs>
        <w:ind w:left="720" w:hanging="360"/>
      </w:pPr>
    </w:lvl>
  </w:abstractNum>
  <w:abstractNum w:abstractNumId="2">
    <w:nsid w:val="FFFFFF82"/>
    <w:multiLevelType w:val="singleLevel"/>
    <w:tmpl w:val="FFFFFF82"/>
    <w:lvl w:ilvl="0" w:tentative="0">
      <w:start w:val="1"/>
      <w:numFmt w:val="bullet"/>
      <w:pStyle w:val="18"/>
      <w:lvlText w:val=""/>
      <w:lvlJc w:val="left"/>
      <w:pPr>
        <w:tabs>
          <w:tab w:val="left" w:pos="1080"/>
        </w:tabs>
        <w:ind w:left="1080" w:hanging="360"/>
      </w:pPr>
      <w:rPr>
        <w:rFonts w:hint="default" w:ascii="Symbol" w:hAnsi="Symbol"/>
      </w:rPr>
    </w:lvl>
  </w:abstractNum>
  <w:abstractNum w:abstractNumId="3">
    <w:nsid w:val="FFFFFF83"/>
    <w:multiLevelType w:val="singleLevel"/>
    <w:tmpl w:val="FFFFFF83"/>
    <w:lvl w:ilvl="0" w:tentative="0">
      <w:start w:val="1"/>
      <w:numFmt w:val="bullet"/>
      <w:pStyle w:val="23"/>
      <w:lvlText w:val=""/>
      <w:lvlJc w:val="left"/>
      <w:pPr>
        <w:tabs>
          <w:tab w:val="left" w:pos="720"/>
        </w:tabs>
        <w:ind w:left="720" w:hanging="360"/>
      </w:pPr>
      <w:rPr>
        <w:rFonts w:hint="default" w:ascii="Symbol" w:hAnsi="Symbol"/>
      </w:rPr>
    </w:lvl>
  </w:abstractNum>
  <w:abstractNum w:abstractNumId="4">
    <w:nsid w:val="FFFFFF88"/>
    <w:multiLevelType w:val="singleLevel"/>
    <w:tmpl w:val="FFFFFF88"/>
    <w:lvl w:ilvl="0" w:tentative="0">
      <w:start w:val="1"/>
      <w:numFmt w:val="decimal"/>
      <w:pStyle w:val="14"/>
      <w:lvlText w:val="%1."/>
      <w:lvlJc w:val="left"/>
      <w:pPr>
        <w:tabs>
          <w:tab w:val="left" w:pos="360"/>
        </w:tabs>
        <w:ind w:left="360" w:hanging="360"/>
      </w:pPr>
    </w:lvl>
  </w:abstractNum>
  <w:abstractNum w:abstractNumId="5">
    <w:nsid w:val="FFFFFF89"/>
    <w:multiLevelType w:val="singleLevel"/>
    <w:tmpl w:val="FFFFFF89"/>
    <w:lvl w:ilvl="0" w:tentative="0">
      <w:start w:val="1"/>
      <w:numFmt w:val="bullet"/>
      <w:pStyle w:val="16"/>
      <w:lvlText w:val=""/>
      <w:lvlJc w:val="left"/>
      <w:pPr>
        <w:tabs>
          <w:tab w:val="left" w:pos="360"/>
        </w:tabs>
        <w:ind w:left="360" w:hanging="360"/>
      </w:pPr>
      <w:rPr>
        <w:rFonts w:hint="default" w:ascii="Symbol" w:hAnsi="Symbol"/>
      </w:rPr>
    </w:lvl>
  </w:abstractNum>
  <w:num w:numId="1">
    <w:abstractNumId w:val="1"/>
  </w:num>
  <w:num w:numId="2">
    <w:abstractNumId w:val="4"/>
  </w:num>
  <w:num w:numId="3">
    <w:abstractNumId w:val="5"/>
  </w:num>
  <w:num w:numId="4">
    <w:abstractNumId w:val="2"/>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documentProtection w:enforcement="0"/>
  <w:defaultTabStop w:val="720"/>
  <w:characterSpacingControl w:val="doNotCompress"/>
  <w:footnotePr>
    <w:footnote w:id="0"/>
    <w:footnote w:id="1"/>
  </w:footnotePr>
  <w:endnotePr>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 w:val="08E54E39"/>
    <w:rsid w:val="08F17FDE"/>
    <w:rsid w:val="50135D35"/>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ja-JP"/>
  <w:clrSchemeMapping w:bg1="light1" w:t1="dark1" w:bg2="light2" w:t2="dark2" w:accent1="accent1" w:accent2="accent2" w:accent3="accent3" w:accent4="accent4" w:accent5="accent5" w:accent6="accent6" w:hyperlink="hyperlink" w:followedHyperlink="followedHyperlink"/>
  <w14:defaultImageDpi w14:val="300"/>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qFormat="1" w:uiPriority="99" w:semiHidden="0" w:name="macro"/>
    <w:lsdException w:uiPriority="99" w:name="toa heading"/>
    <w:lsdException w:qFormat="1" w:uiPriority="99" w:semiHidden="0" w:name="List"/>
    <w:lsdException w:qFormat="1" w:uiPriority="99" w:semiHidden="0" w:name="List Bullet"/>
    <w:lsdException w:uiPriority="99" w:semiHidden="0" w:name="List Number"/>
    <w:lsdException w:qFormat="1" w:uiPriority="99" w:semiHidden="0" w:name="List 2"/>
    <w:lsdException w:uiPriority="99" w:semiHidden="0" w:name="List 3"/>
    <w:lsdException w:uiPriority="99" w:name="List 4"/>
    <w:lsdException w:uiPriority="99" w:name="List 5"/>
    <w:lsdException w:qFormat="1" w:uiPriority="99" w:semiHidden="0" w:name="List Bullet 2"/>
    <w:lsdException w:qFormat="1" w:uiPriority="99" w:semiHidden="0" w:name="List Bullet 3"/>
    <w:lsdException w:uiPriority="99" w:name="List Bullet 4"/>
    <w:lsdException w:uiPriority="99" w:name="List Bullet 5"/>
    <w:lsdException w:qFormat="1" w:uiPriority="99" w:semiHidden="0" w:name="List Number 2"/>
    <w:lsdException w:qFormat="1" w:uiPriority="99" w:semiHidden="0"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qFormat="1" w:uiPriority="99" w:semiHidden="0" w:name="List Continue"/>
    <w:lsdException w:qFormat="1" w:uiPriority="99" w:semiHidden="0" w:name="List Continue 2"/>
    <w:lsdException w:qFormat="1" w:uiPriority="99" w:semiHidden="0"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iPriority="99" w:semiHidden="0" w:name="Body Text 2"/>
    <w:lsdException w:qFormat="1" w:uiPriority="99" w:semiHidden="0"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unhideWhenUsed="0" w:uiPriority="70" w:semiHidden="0" w:name="Dark List"/>
    <w:lsdException w:qFormat="1" w:unhideWhenUsed="0" w:uiPriority="71" w:semiHidden="0" w:name="Colorful Shading"/>
    <w:lsdException w:unhideWhenUsed="0" w:uiPriority="72" w:semiHidden="0" w:name="Colorful List"/>
    <w:lsdException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unhideWhenUsed="0" w:uiPriority="70" w:semiHidden="0" w:name="Dark List Accent 1"/>
    <w:lsdException w:qFormat="1" w:unhideWhenUsed="0" w:uiPriority="71" w:semiHidden="0" w:name="Colorful Shading Accent 1"/>
    <w:lsdException w:unhideWhenUsed="0" w:uiPriority="72" w:semiHidden="0" w:name="Colorful List Accent 1"/>
    <w:lsdException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unhideWhenUsed="0" w:uiPriority="69" w:semiHidden="0" w:name="Medium Grid 3 Accent 3"/>
    <w:lsdException w:qFormat="1" w:unhideWhenUsed="0" w:uiPriority="70" w:semiHidden="0" w:name="Dark List Accent 3"/>
    <w:lsdException w:unhideWhenUsed="0" w:uiPriority="71" w:semiHidden="0" w:name="Colorful Shading Accent 3"/>
    <w:lsdException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qFormat="1" w:unhideWhenUsed="0" w:uiPriority="72" w:semiHidden="0" w:name="Colorful List Accent 4"/>
    <w:lsdException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unhideWhenUsed="0" w:uiPriority="69" w:semiHidden="0" w:name="Medium Grid 3 Accent 6"/>
    <w:lsdException w:qFormat="1" w:unhideWhenUsed="0" w:uiPriority="70" w:semiHidden="0" w:name="Dark List Accent 6"/>
    <w:lsdException w:qFormat="1"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360" w:lineRule="auto"/>
    </w:pPr>
    <w:rPr>
      <w:rFonts w:ascii="宋体" w:hAnsi="宋体" w:eastAsia="宋体" w:cstheme="minorBidi"/>
      <w:sz w:val="22"/>
      <w:szCs w:val="22"/>
      <w:lang w:val="en-US" w:eastAsia="en-US" w:bidi="ar-SA"/>
    </w:rPr>
  </w:style>
  <w:style w:type="paragraph" w:styleId="3">
    <w:name w:val="heading 1"/>
    <w:basedOn w:val="1"/>
    <w:next w:val="1"/>
    <w:link w:val="138"/>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4">
    <w:name w:val="heading 2"/>
    <w:basedOn w:val="1"/>
    <w:next w:val="1"/>
    <w:link w:val="139"/>
    <w:unhideWhenUsed/>
    <w:qFormat/>
    <w:uiPriority w:val="9"/>
    <w:pPr>
      <w:keepNext/>
      <w:keepLines/>
      <w:spacing w:before="200" w:after="0"/>
      <w:outlineLvl w:val="1"/>
    </w:pPr>
    <w:rPr>
      <w:rFonts w:asciiTheme="majorHAnsi" w:hAnsiTheme="majorHAnsi" w:eastAsiaTheme="majorEastAsia" w:cstheme="majorBidi"/>
      <w:b/>
      <w:bCs/>
      <w:color w:val="4F81BD" w:themeColor="accent1"/>
      <w:sz w:val="26"/>
      <w:szCs w:val="26"/>
      <w14:textFill>
        <w14:solidFill>
          <w14:schemeClr w14:val="accent1"/>
        </w14:solidFill>
      </w14:textFill>
    </w:rPr>
  </w:style>
  <w:style w:type="paragraph" w:styleId="5">
    <w:name w:val="heading 3"/>
    <w:basedOn w:val="1"/>
    <w:next w:val="1"/>
    <w:link w:val="140"/>
    <w:unhideWhenUsed/>
    <w:qFormat/>
    <w:uiPriority w:val="9"/>
    <w:pPr>
      <w:keepNext/>
      <w:keepLines/>
      <w:spacing w:before="200" w:after="0"/>
      <w:outlineLvl w:val="2"/>
    </w:pPr>
    <w:rPr>
      <w:rFonts w:asciiTheme="majorHAnsi" w:hAnsiTheme="majorHAnsi" w:eastAsiaTheme="majorEastAsia" w:cstheme="majorBidi"/>
      <w:b/>
      <w:bCs/>
      <w:color w:val="4F81BD" w:themeColor="accent1"/>
      <w14:textFill>
        <w14:solidFill>
          <w14:schemeClr w14:val="accent1"/>
        </w14:solidFill>
      </w14:textFill>
    </w:rPr>
  </w:style>
  <w:style w:type="paragraph" w:styleId="6">
    <w:name w:val="heading 4"/>
    <w:basedOn w:val="1"/>
    <w:next w:val="1"/>
    <w:link w:val="150"/>
    <w:semiHidden/>
    <w:unhideWhenUsed/>
    <w:qFormat/>
    <w:uiPriority w:val="9"/>
    <w:pPr>
      <w:keepNext/>
      <w:keepLines/>
      <w:spacing w:before="200" w:after="0"/>
      <w:outlineLvl w:val="3"/>
    </w:pPr>
    <w:rPr>
      <w:rFonts w:asciiTheme="majorHAnsi" w:hAnsiTheme="majorHAnsi" w:eastAsiaTheme="majorEastAsia" w:cstheme="majorBidi"/>
      <w:b/>
      <w:bCs/>
      <w:i/>
      <w:iCs/>
      <w:color w:val="4F81BD" w:themeColor="accent1"/>
      <w14:textFill>
        <w14:solidFill>
          <w14:schemeClr w14:val="accent1"/>
        </w14:solidFill>
      </w14:textFill>
    </w:rPr>
  </w:style>
  <w:style w:type="paragraph" w:styleId="7">
    <w:name w:val="heading 5"/>
    <w:basedOn w:val="1"/>
    <w:next w:val="1"/>
    <w:link w:val="151"/>
    <w:semiHidden/>
    <w:unhideWhenUsed/>
    <w:qFormat/>
    <w:uiPriority w:val="9"/>
    <w:pPr>
      <w:keepNext/>
      <w:keepLines/>
      <w:spacing w:before="200" w:after="0"/>
      <w:outlineLvl w:val="4"/>
    </w:pPr>
    <w:rPr>
      <w:rFonts w:asciiTheme="majorHAnsi" w:hAnsiTheme="majorHAnsi" w:eastAsiaTheme="majorEastAsia" w:cstheme="majorBidi"/>
      <w:color w:val="254061" w:themeColor="accent1" w:themeShade="80"/>
    </w:rPr>
  </w:style>
  <w:style w:type="paragraph" w:styleId="8">
    <w:name w:val="heading 6"/>
    <w:basedOn w:val="1"/>
    <w:next w:val="1"/>
    <w:link w:val="152"/>
    <w:semiHidden/>
    <w:unhideWhenUsed/>
    <w:qFormat/>
    <w:uiPriority w:val="9"/>
    <w:pPr>
      <w:keepNext/>
      <w:keepLines/>
      <w:spacing w:before="200" w:after="0"/>
      <w:outlineLvl w:val="5"/>
    </w:pPr>
    <w:rPr>
      <w:rFonts w:asciiTheme="majorHAnsi" w:hAnsiTheme="majorHAnsi" w:eastAsiaTheme="majorEastAsia" w:cstheme="majorBidi"/>
      <w:i/>
      <w:iCs/>
      <w:color w:val="254061" w:themeColor="accent1" w:themeShade="80"/>
    </w:rPr>
  </w:style>
  <w:style w:type="paragraph" w:styleId="9">
    <w:name w:val="heading 7"/>
    <w:basedOn w:val="1"/>
    <w:next w:val="1"/>
    <w:link w:val="153"/>
    <w:semiHidden/>
    <w:unhideWhenUsed/>
    <w:qFormat/>
    <w:uiPriority w:val="9"/>
    <w:pPr>
      <w:keepNext/>
      <w:keepLines/>
      <w:spacing w:before="200" w:after="0"/>
      <w:outlineLvl w:val="6"/>
    </w:pPr>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paragraph" w:styleId="10">
    <w:name w:val="heading 8"/>
    <w:basedOn w:val="1"/>
    <w:next w:val="1"/>
    <w:link w:val="154"/>
    <w:semiHidden/>
    <w:unhideWhenUsed/>
    <w:qFormat/>
    <w:uiPriority w:val="9"/>
    <w:pPr>
      <w:keepNext/>
      <w:keepLines/>
      <w:spacing w:before="200" w:after="0"/>
      <w:outlineLvl w:val="7"/>
    </w:pPr>
    <w:rPr>
      <w:rFonts w:asciiTheme="majorHAnsi" w:hAnsiTheme="majorHAnsi" w:eastAsiaTheme="majorEastAsia" w:cstheme="majorBidi"/>
      <w:color w:val="4F81BD" w:themeColor="accent1"/>
      <w:sz w:val="20"/>
      <w:szCs w:val="20"/>
      <w14:textFill>
        <w14:solidFill>
          <w14:schemeClr w14:val="accent1"/>
        </w14:solidFill>
      </w14:textFill>
    </w:rPr>
  </w:style>
  <w:style w:type="paragraph" w:styleId="11">
    <w:name w:val="heading 9"/>
    <w:basedOn w:val="1"/>
    <w:next w:val="1"/>
    <w:link w:val="155"/>
    <w:semiHidden/>
    <w:unhideWhenUsed/>
    <w:qFormat/>
    <w:uiPriority w:val="9"/>
    <w:pPr>
      <w:keepNext/>
      <w:keepLines/>
      <w:spacing w:before="200" w:after="0"/>
      <w:outlineLvl w:val="8"/>
    </w:pPr>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default="1" w:styleId="132">
    <w:name w:val="Default Paragraph Font"/>
    <w:semiHidden/>
    <w:unhideWhenUsed/>
    <w:qFormat/>
    <w:uiPriority w:val="1"/>
  </w:style>
  <w:style w:type="table" w:default="1" w:styleId="32">
    <w:name w:val="Normal Table"/>
    <w:semiHidden/>
    <w:unhideWhenUsed/>
    <w:uiPriority w:val="99"/>
    <w:tblPr>
      <w:tblCellMar>
        <w:top w:w="0" w:type="dxa"/>
        <w:left w:w="108" w:type="dxa"/>
        <w:bottom w:w="0" w:type="dxa"/>
        <w:right w:w="108" w:type="dxa"/>
      </w:tblCellMar>
    </w:tblPr>
  </w:style>
  <w:style w:type="paragraph" w:styleId="2">
    <w:name w:val="macro"/>
    <w:link w:val="147"/>
    <w:unhideWhenUsed/>
    <w:qFormat/>
    <w:uiPriority w:val="99"/>
    <w:pPr>
      <w:tabs>
        <w:tab w:val="left" w:pos="576"/>
        <w:tab w:val="left" w:pos="1152"/>
        <w:tab w:val="left" w:pos="1728"/>
        <w:tab w:val="left" w:pos="2304"/>
        <w:tab w:val="left" w:pos="2880"/>
        <w:tab w:val="left" w:pos="3456"/>
        <w:tab w:val="left" w:pos="4032"/>
      </w:tabs>
      <w:spacing w:after="200" w:line="276" w:lineRule="auto"/>
    </w:pPr>
    <w:rPr>
      <w:rFonts w:ascii="Courier" w:hAnsi="Courier" w:eastAsiaTheme="minorEastAsia" w:cstheme="minorBidi"/>
      <w:sz w:val="20"/>
      <w:szCs w:val="20"/>
      <w:lang w:val="en-US" w:eastAsia="en-US" w:bidi="ar-SA"/>
    </w:rPr>
  </w:style>
  <w:style w:type="paragraph" w:styleId="12">
    <w:name w:val="List 3"/>
    <w:basedOn w:val="1"/>
    <w:unhideWhenUsed/>
    <w:uiPriority w:val="99"/>
    <w:pPr>
      <w:ind w:left="1080" w:hanging="360"/>
      <w:contextualSpacing/>
    </w:pPr>
  </w:style>
  <w:style w:type="paragraph" w:styleId="13">
    <w:name w:val="List Number 2"/>
    <w:basedOn w:val="1"/>
    <w:unhideWhenUsed/>
    <w:qFormat/>
    <w:uiPriority w:val="99"/>
    <w:pPr>
      <w:numPr>
        <w:ilvl w:val="0"/>
        <w:numId w:val="1"/>
      </w:numPr>
      <w:contextualSpacing/>
    </w:pPr>
  </w:style>
  <w:style w:type="paragraph" w:styleId="14">
    <w:name w:val="List Number"/>
    <w:basedOn w:val="1"/>
    <w:unhideWhenUsed/>
    <w:uiPriority w:val="99"/>
    <w:pPr>
      <w:numPr>
        <w:ilvl w:val="0"/>
        <w:numId w:val="2"/>
      </w:numPr>
      <w:contextualSpacing/>
    </w:pPr>
  </w:style>
  <w:style w:type="paragraph" w:styleId="15">
    <w:name w:val="caption"/>
    <w:basedOn w:val="1"/>
    <w:next w:val="1"/>
    <w:semiHidden/>
    <w:unhideWhenUsed/>
    <w:qFormat/>
    <w:uiPriority w:val="35"/>
    <w:pPr>
      <w:spacing w:line="240" w:lineRule="auto"/>
    </w:pPr>
    <w:rPr>
      <w:b/>
      <w:bCs/>
      <w:color w:val="4F81BD" w:themeColor="accent1"/>
      <w:sz w:val="18"/>
      <w:szCs w:val="18"/>
      <w14:textFill>
        <w14:solidFill>
          <w14:schemeClr w14:val="accent1"/>
        </w14:solidFill>
      </w14:textFill>
    </w:rPr>
  </w:style>
  <w:style w:type="paragraph" w:styleId="16">
    <w:name w:val="List Bullet"/>
    <w:basedOn w:val="1"/>
    <w:unhideWhenUsed/>
    <w:qFormat/>
    <w:uiPriority w:val="99"/>
    <w:pPr>
      <w:numPr>
        <w:ilvl w:val="0"/>
        <w:numId w:val="3"/>
      </w:numPr>
      <w:contextualSpacing/>
    </w:pPr>
  </w:style>
  <w:style w:type="paragraph" w:styleId="17">
    <w:name w:val="Body Text 3"/>
    <w:basedOn w:val="1"/>
    <w:link w:val="146"/>
    <w:unhideWhenUsed/>
    <w:qFormat/>
    <w:uiPriority w:val="99"/>
    <w:pPr>
      <w:spacing w:after="120"/>
    </w:pPr>
    <w:rPr>
      <w:sz w:val="16"/>
      <w:szCs w:val="16"/>
    </w:rPr>
  </w:style>
  <w:style w:type="paragraph" w:styleId="18">
    <w:name w:val="List Bullet 3"/>
    <w:basedOn w:val="1"/>
    <w:unhideWhenUsed/>
    <w:qFormat/>
    <w:uiPriority w:val="99"/>
    <w:pPr>
      <w:numPr>
        <w:ilvl w:val="0"/>
        <w:numId w:val="4"/>
      </w:numPr>
      <w:contextualSpacing/>
    </w:pPr>
  </w:style>
  <w:style w:type="paragraph" w:styleId="19">
    <w:name w:val="Body Text"/>
    <w:basedOn w:val="1"/>
    <w:link w:val="144"/>
    <w:unhideWhenUsed/>
    <w:qFormat/>
    <w:uiPriority w:val="99"/>
    <w:pPr>
      <w:spacing w:after="120"/>
    </w:pPr>
  </w:style>
  <w:style w:type="paragraph" w:styleId="20">
    <w:name w:val="List Number 3"/>
    <w:basedOn w:val="1"/>
    <w:unhideWhenUsed/>
    <w:qFormat/>
    <w:uiPriority w:val="99"/>
    <w:pPr>
      <w:numPr>
        <w:ilvl w:val="0"/>
        <w:numId w:val="5"/>
      </w:numPr>
      <w:contextualSpacing/>
    </w:pPr>
  </w:style>
  <w:style w:type="paragraph" w:styleId="21">
    <w:name w:val="List 2"/>
    <w:basedOn w:val="1"/>
    <w:unhideWhenUsed/>
    <w:qFormat/>
    <w:uiPriority w:val="99"/>
    <w:pPr>
      <w:ind w:left="720" w:hanging="360"/>
      <w:contextualSpacing/>
    </w:pPr>
  </w:style>
  <w:style w:type="paragraph" w:styleId="22">
    <w:name w:val="List Continue"/>
    <w:basedOn w:val="1"/>
    <w:unhideWhenUsed/>
    <w:qFormat/>
    <w:uiPriority w:val="99"/>
    <w:pPr>
      <w:spacing w:after="120"/>
      <w:ind w:left="360"/>
      <w:contextualSpacing/>
    </w:pPr>
  </w:style>
  <w:style w:type="paragraph" w:styleId="23">
    <w:name w:val="List Bullet 2"/>
    <w:basedOn w:val="1"/>
    <w:unhideWhenUsed/>
    <w:qFormat/>
    <w:uiPriority w:val="99"/>
    <w:pPr>
      <w:numPr>
        <w:ilvl w:val="0"/>
        <w:numId w:val="6"/>
      </w:numPr>
      <w:contextualSpacing/>
    </w:pPr>
  </w:style>
  <w:style w:type="paragraph" w:styleId="24">
    <w:name w:val="footer"/>
    <w:basedOn w:val="1"/>
    <w:link w:val="136"/>
    <w:unhideWhenUsed/>
    <w:qFormat/>
    <w:uiPriority w:val="99"/>
    <w:pPr>
      <w:tabs>
        <w:tab w:val="center" w:pos="4680"/>
        <w:tab w:val="right" w:pos="9360"/>
      </w:tabs>
      <w:spacing w:after="0" w:line="240" w:lineRule="auto"/>
    </w:pPr>
  </w:style>
  <w:style w:type="paragraph" w:styleId="25">
    <w:name w:val="header"/>
    <w:basedOn w:val="1"/>
    <w:link w:val="135"/>
    <w:unhideWhenUsed/>
    <w:qFormat/>
    <w:uiPriority w:val="99"/>
    <w:pPr>
      <w:tabs>
        <w:tab w:val="center" w:pos="4680"/>
        <w:tab w:val="right" w:pos="9360"/>
      </w:tabs>
      <w:spacing w:after="0" w:line="240" w:lineRule="auto"/>
    </w:pPr>
  </w:style>
  <w:style w:type="paragraph" w:styleId="26">
    <w:name w:val="Subtitle"/>
    <w:basedOn w:val="1"/>
    <w:next w:val="1"/>
    <w:link w:val="142"/>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27">
    <w:name w:val="List"/>
    <w:basedOn w:val="1"/>
    <w:unhideWhenUsed/>
    <w:qFormat/>
    <w:uiPriority w:val="99"/>
    <w:pPr>
      <w:ind w:left="360" w:hanging="360"/>
      <w:contextualSpacing/>
    </w:pPr>
  </w:style>
  <w:style w:type="paragraph" w:styleId="28">
    <w:name w:val="Body Text 2"/>
    <w:basedOn w:val="1"/>
    <w:link w:val="145"/>
    <w:unhideWhenUsed/>
    <w:qFormat/>
    <w:uiPriority w:val="99"/>
    <w:pPr>
      <w:spacing w:after="120" w:line="480" w:lineRule="auto"/>
    </w:pPr>
  </w:style>
  <w:style w:type="paragraph" w:styleId="29">
    <w:name w:val="List Continue 2"/>
    <w:basedOn w:val="1"/>
    <w:unhideWhenUsed/>
    <w:qFormat/>
    <w:uiPriority w:val="99"/>
    <w:pPr>
      <w:spacing w:after="120"/>
      <w:ind w:left="720"/>
      <w:contextualSpacing/>
    </w:pPr>
  </w:style>
  <w:style w:type="paragraph" w:styleId="30">
    <w:name w:val="List Continue 3"/>
    <w:basedOn w:val="1"/>
    <w:unhideWhenUsed/>
    <w:qFormat/>
    <w:uiPriority w:val="99"/>
    <w:pPr>
      <w:spacing w:after="120"/>
      <w:ind w:left="1080"/>
      <w:contextualSpacing/>
    </w:pPr>
  </w:style>
  <w:style w:type="paragraph" w:styleId="31">
    <w:name w:val="Title"/>
    <w:basedOn w:val="1"/>
    <w:next w:val="1"/>
    <w:link w:val="141"/>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table" w:styleId="33">
    <w:name w:val="Table Grid"/>
    <w:basedOn w:val="32"/>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34">
    <w:name w:val="Light Shading"/>
    <w:basedOn w:val="32"/>
    <w:qFormat/>
    <w:uiPriority w:val="60"/>
    <w:pPr>
      <w:spacing w:after="0" w:line="240" w:lineRule="auto"/>
    </w:pPr>
    <w:rPr>
      <w:color w:val="000000" w:themeColor="text1" w:themeShade="BF"/>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left w:val="nil"/>
          <w:right w:val="nil"/>
          <w:insideH w:val="nil"/>
          <w:insideV w:val="nil"/>
        </w:tcBorders>
        <w:shd w:val="clear" w:color="auto" w:fill="BFBFBF" w:themeFill="text1" w:themeFillTint="3F"/>
      </w:tcPr>
    </w:tblStylePr>
  </w:style>
  <w:style w:type="table" w:styleId="35">
    <w:name w:val="Light Shading Accent 1"/>
    <w:basedOn w:val="32"/>
    <w:qFormat/>
    <w:uiPriority w:val="60"/>
    <w:pPr>
      <w:spacing w:after="0" w:line="240" w:lineRule="auto"/>
    </w:pPr>
    <w:rPr>
      <w:color w:val="376092" w:themeColor="accent1" w:themeShade="BF"/>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36">
    <w:name w:val="Light Shading Accent 2"/>
    <w:basedOn w:val="32"/>
    <w:qFormat/>
    <w:uiPriority w:val="60"/>
    <w:pPr>
      <w:spacing w:after="0" w:line="240" w:lineRule="auto"/>
    </w:pPr>
    <w:rPr>
      <w:color w:val="953735" w:themeColor="accent2" w:themeShade="BF"/>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left w:val="nil"/>
          <w:right w:val="nil"/>
          <w:insideH w:val="nil"/>
          <w:insideV w:val="nil"/>
        </w:tcBorders>
        <w:shd w:val="clear" w:color="auto" w:fill="EFD3D3" w:themeFill="accent2" w:themeFillTint="3F"/>
      </w:tcPr>
    </w:tblStylePr>
  </w:style>
  <w:style w:type="table" w:styleId="37">
    <w:name w:val="Light Shading Accent 3"/>
    <w:basedOn w:val="32"/>
    <w:qFormat/>
    <w:uiPriority w:val="60"/>
    <w:pPr>
      <w:spacing w:after="0" w:line="240" w:lineRule="auto"/>
    </w:pPr>
    <w:rPr>
      <w:color w:val="77933C" w:themeColor="accent3" w:themeShade="BF"/>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38">
    <w:name w:val="Light Shading Accent 4"/>
    <w:basedOn w:val="32"/>
    <w:qFormat/>
    <w:uiPriority w:val="60"/>
    <w:pPr>
      <w:spacing w:after="0" w:line="240" w:lineRule="auto"/>
    </w:pPr>
    <w:rPr>
      <w:color w:val="604A7B" w:themeColor="accent4" w:themeShade="BF"/>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39">
    <w:name w:val="Light Shading Accent 5"/>
    <w:basedOn w:val="32"/>
    <w:qFormat/>
    <w:uiPriority w:val="60"/>
    <w:pPr>
      <w:spacing w:after="0" w:line="240" w:lineRule="auto"/>
    </w:pPr>
    <w:rPr>
      <w:color w:val="31859C" w:themeColor="accent5" w:themeShade="BF"/>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left w:val="nil"/>
          <w:right w:val="nil"/>
          <w:insideH w:val="nil"/>
          <w:insideV w:val="nil"/>
        </w:tcBorders>
        <w:shd w:val="clear" w:color="auto" w:fill="D2EAF0" w:themeFill="accent5" w:themeFillTint="3F"/>
      </w:tcPr>
    </w:tblStylePr>
  </w:style>
  <w:style w:type="table" w:styleId="40">
    <w:name w:val="Light Shading Accent 6"/>
    <w:basedOn w:val="32"/>
    <w:qFormat/>
    <w:uiPriority w:val="60"/>
    <w:pPr>
      <w:spacing w:after="0" w:line="240" w:lineRule="auto"/>
    </w:pPr>
    <w:rPr>
      <w:color w:val="E46C0A" w:themeColor="accent6" w:themeShade="BF"/>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left w:val="nil"/>
          <w:right w:val="nil"/>
          <w:insideH w:val="nil"/>
          <w:insideV w:val="nil"/>
        </w:tcBorders>
        <w:shd w:val="clear" w:color="auto" w:fill="FDE5D1" w:themeFill="accent6" w:themeFillTint="3F"/>
      </w:tcPr>
    </w:tblStylePr>
  </w:style>
  <w:style w:type="table" w:styleId="41">
    <w:name w:val="Light List"/>
    <w:basedOn w:val="32"/>
    <w:qFormat/>
    <w:uiPriority w:val="61"/>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42">
    <w:name w:val="Light List Accent 1"/>
    <w:basedOn w:val="32"/>
    <w:qFormat/>
    <w:uiPriority w:val="61"/>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43">
    <w:name w:val="Light List Accent 2"/>
    <w:basedOn w:val="32"/>
    <w:qFormat/>
    <w:uiPriority w:val="61"/>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44">
    <w:name w:val="Light List Accent 3"/>
    <w:basedOn w:val="32"/>
    <w:qFormat/>
    <w:uiPriority w:val="61"/>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45">
    <w:name w:val="Light List Accent 4"/>
    <w:basedOn w:val="32"/>
    <w:qFormat/>
    <w:uiPriority w:val="61"/>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46">
    <w:name w:val="Light List Accent 5"/>
    <w:basedOn w:val="32"/>
    <w:qFormat/>
    <w:uiPriority w:val="61"/>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47">
    <w:name w:val="Light List Accent 6"/>
    <w:basedOn w:val="32"/>
    <w:qFormat/>
    <w:uiPriority w:val="61"/>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48">
    <w:name w:val="Light Grid"/>
    <w:basedOn w:val="32"/>
    <w:qFormat/>
    <w:uiPriority w:val="62"/>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BFBFBF"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shd w:val="clear" w:color="auto" w:fill="BFBFBF"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tcPr>
    </w:tblStylePr>
  </w:style>
  <w:style w:type="table" w:styleId="49">
    <w:name w:val="Light Grid Accent 1"/>
    <w:basedOn w:val="32"/>
    <w:qFormat/>
    <w:uiPriority w:val="62"/>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50">
    <w:name w:val="Light Grid Accent 2"/>
    <w:basedOn w:val="32"/>
    <w:qFormat/>
    <w:uiPriority w:val="62"/>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3"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shd w:val="clear" w:color="auto" w:fill="EFD3D3"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tcPr>
    </w:tblStylePr>
  </w:style>
  <w:style w:type="table" w:styleId="51">
    <w:name w:val="Light Grid Accent 3"/>
    <w:basedOn w:val="32"/>
    <w:qFormat/>
    <w:uiPriority w:val="62"/>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tcPr>
    </w:tblStylePr>
  </w:style>
  <w:style w:type="table" w:styleId="52">
    <w:name w:val="Light Grid Accent 4"/>
    <w:basedOn w:val="32"/>
    <w:qFormat/>
    <w:uiPriority w:val="62"/>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tcPr>
    </w:tblStylePr>
  </w:style>
  <w:style w:type="table" w:styleId="53">
    <w:name w:val="Light Grid Accent 5"/>
    <w:basedOn w:val="32"/>
    <w:qFormat/>
    <w:uiPriority w:val="62"/>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0"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shd w:val="clear" w:color="auto" w:fill="D2EAF0"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tcPr>
    </w:tblStylePr>
  </w:style>
  <w:style w:type="table" w:styleId="54">
    <w:name w:val="Light Grid Accent 6"/>
    <w:basedOn w:val="32"/>
    <w:qFormat/>
    <w:uiPriority w:val="62"/>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5D1"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shd w:val="clear" w:color="auto" w:fill="FDE5D1"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tcPr>
    </w:tblStylePr>
  </w:style>
  <w:style w:type="table" w:styleId="55">
    <w:name w:val="Medium Shading 1"/>
    <w:basedOn w:val="32"/>
    <w:qFormat/>
    <w:uiPriority w:val="63"/>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3F3F3F" w:themeColor="text1" w:themeTint="BF" w:sz="6" w:space="0"/>
          <w:left w:val="single" w:color="3F3F3F" w:themeColor="text1" w:themeTint="BF" w:sz="8" w:space="0"/>
          <w:bottom w:val="single" w:color="3F3F3F" w:themeColor="text1" w:themeTint="BF" w:sz="8" w:space="0"/>
          <w:right w:val="single" w:color="3F3F3F"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BFBFBF" w:themeFill="text1" w:themeFillTint="3F"/>
      </w:tcPr>
    </w:tblStylePr>
    <w:tblStylePr w:type="band1Horz">
      <w:tblPr/>
      <w:tcPr>
        <w:tcBorders>
          <w:insideH w:val="nil"/>
          <w:insideV w:val="nil"/>
        </w:tcBorders>
        <w:shd w:val="clear" w:color="auto" w:fill="BFBFBF" w:themeFill="text1" w:themeFillTint="3F"/>
      </w:tcPr>
    </w:tblStylePr>
    <w:tblStylePr w:type="band2Horz">
      <w:tblPr/>
      <w:tcPr>
        <w:tcBorders>
          <w:insideH w:val="nil"/>
          <w:insideV w:val="nil"/>
        </w:tcBorders>
      </w:tcPr>
    </w:tblStylePr>
  </w:style>
  <w:style w:type="table" w:styleId="56">
    <w:name w:val="Medium Shading 1 Accent 1"/>
    <w:basedOn w:val="32"/>
    <w:qFormat/>
    <w:uiPriority w:val="63"/>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57">
    <w:name w:val="Medium Shading 1 Accent 2"/>
    <w:basedOn w:val="32"/>
    <w:qFormat/>
    <w:uiPriority w:val="63"/>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3" w:themeFill="accent2" w:themeFillTint="3F"/>
      </w:tcPr>
    </w:tblStylePr>
    <w:tblStylePr w:type="band1Horz">
      <w:tblPr/>
      <w:tcPr>
        <w:tcBorders>
          <w:insideH w:val="nil"/>
          <w:insideV w:val="nil"/>
        </w:tcBorders>
        <w:shd w:val="clear" w:color="auto" w:fill="EFD3D3" w:themeFill="accent2" w:themeFillTint="3F"/>
      </w:tcPr>
    </w:tblStylePr>
    <w:tblStylePr w:type="band2Horz">
      <w:tblPr/>
      <w:tcPr>
        <w:tcBorders>
          <w:insideH w:val="nil"/>
          <w:insideV w:val="nil"/>
        </w:tcBorders>
      </w:tcPr>
    </w:tblStylePr>
  </w:style>
  <w:style w:type="table" w:styleId="58">
    <w:name w:val="Medium Shading 1 Accent 3"/>
    <w:basedOn w:val="32"/>
    <w:qFormat/>
    <w:uiPriority w:val="63"/>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4CC82" w:themeColor="accent3" w:themeTint="BF" w:sz="6"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59">
    <w:name w:val="Medium Shading 1 Accent 4"/>
    <w:basedOn w:val="32"/>
    <w:qFormat/>
    <w:uiPriority w:val="63"/>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60">
    <w:name w:val="Medium Shading 1 Accent 5"/>
    <w:basedOn w:val="32"/>
    <w:qFormat/>
    <w:uiPriority w:val="63"/>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0" w:themeFill="accent5" w:themeFillTint="3F"/>
      </w:tcPr>
    </w:tblStylePr>
    <w:tblStylePr w:type="band1Horz">
      <w:tblPr/>
      <w:tcPr>
        <w:tcBorders>
          <w:insideH w:val="nil"/>
          <w:insideV w:val="nil"/>
        </w:tcBorders>
        <w:shd w:val="clear" w:color="auto" w:fill="D2EAF0" w:themeFill="accent5" w:themeFillTint="3F"/>
      </w:tcPr>
    </w:tblStylePr>
    <w:tblStylePr w:type="band2Horz">
      <w:tblPr/>
      <w:tcPr>
        <w:tcBorders>
          <w:insideH w:val="nil"/>
          <w:insideV w:val="nil"/>
        </w:tcBorders>
      </w:tcPr>
    </w:tblStylePr>
  </w:style>
  <w:style w:type="table" w:styleId="61">
    <w:name w:val="Medium Shading 1 Accent 6"/>
    <w:basedOn w:val="32"/>
    <w:qFormat/>
    <w:uiPriority w:val="63"/>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5D1" w:themeFill="accent6" w:themeFillTint="3F"/>
      </w:tcPr>
    </w:tblStylePr>
    <w:tblStylePr w:type="band1Horz">
      <w:tblPr/>
      <w:tcPr>
        <w:tcBorders>
          <w:insideH w:val="nil"/>
          <w:insideV w:val="nil"/>
        </w:tcBorders>
        <w:shd w:val="clear" w:color="auto" w:fill="FDE5D1" w:themeFill="accent6" w:themeFillTint="3F"/>
      </w:tcPr>
    </w:tblStylePr>
    <w:tblStylePr w:type="band2Horz">
      <w:tblPr/>
      <w:tcPr>
        <w:tcBorders>
          <w:insideH w:val="nil"/>
          <w:insideV w:val="nil"/>
        </w:tcBorders>
      </w:tcPr>
    </w:tblStylePr>
  </w:style>
  <w:style w:type="table" w:styleId="62">
    <w:name w:val="Medium Shading 2"/>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3">
    <w:name w:val="Medium Shading 2 Accent 1"/>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4">
    <w:name w:val="Medium Shading 2 Accent 2"/>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5">
    <w:name w:val="Medium Shading 2 Accent 3"/>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6">
    <w:name w:val="Medium Shading 2 Accent 4"/>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7">
    <w:name w:val="Medium Shading 2 Accent 5"/>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8">
    <w:name w:val="Medium Shading 2 Accent 6"/>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9">
    <w:name w:val="Medium List 1"/>
    <w:basedOn w:val="32"/>
    <w:qFormat/>
    <w:uiPriority w:val="65"/>
    <w:pPr>
      <w:spacing w:after="0" w:line="240" w:lineRule="auto"/>
    </w:pPr>
    <w:rPr>
      <w:color w:val="000000" w:themeColor="text1"/>
      <w14:textFill>
        <w14:solidFill>
          <w14:schemeClr w14:val="tx1"/>
        </w14:solidFill>
      </w14:textFill>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14:textFill>
          <w14:solidFill>
            <w14:schemeClr w14:val="tx2"/>
          </w14:solidFill>
        </w14:textFill>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BFBFBF" w:themeFill="text1" w:themeFillTint="3F"/>
      </w:tcPr>
    </w:tblStylePr>
    <w:tblStylePr w:type="band1Horz">
      <w:tblPr/>
      <w:tcPr>
        <w:shd w:val="clear" w:color="auto" w:fill="BFBFBF" w:themeFill="text1" w:themeFillTint="3F"/>
      </w:tcPr>
    </w:tblStylePr>
  </w:style>
  <w:style w:type="table" w:styleId="70">
    <w:name w:val="Medium List 1 Accent 1"/>
    <w:basedOn w:val="32"/>
    <w:qFormat/>
    <w:uiPriority w:val="65"/>
    <w:pPr>
      <w:spacing w:after="0" w:line="240" w:lineRule="auto"/>
    </w:pPr>
    <w:rPr>
      <w:color w:val="000000" w:themeColor="text1"/>
      <w14:textFill>
        <w14:solidFill>
          <w14:schemeClr w14:val="tx1"/>
        </w14:solidFill>
      </w14:textFill>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14:textFill>
          <w14:solidFill>
            <w14:schemeClr w14:val="tx2"/>
          </w14:solidFill>
        </w14:textFill>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71">
    <w:name w:val="Medium List 1 Accent 2"/>
    <w:basedOn w:val="32"/>
    <w:qFormat/>
    <w:uiPriority w:val="65"/>
    <w:pPr>
      <w:spacing w:after="0" w:line="240" w:lineRule="auto"/>
    </w:pPr>
    <w:rPr>
      <w:color w:val="000000" w:themeColor="text1"/>
      <w14:textFill>
        <w14:solidFill>
          <w14:schemeClr w14:val="tx1"/>
        </w14:solidFill>
      </w14:textFill>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14:textFill>
          <w14:solidFill>
            <w14:schemeClr w14:val="tx2"/>
          </w14:solidFill>
        </w14:textFill>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3" w:themeFill="accent2" w:themeFillTint="3F"/>
      </w:tcPr>
    </w:tblStylePr>
    <w:tblStylePr w:type="band1Horz">
      <w:tblPr/>
      <w:tcPr>
        <w:shd w:val="clear" w:color="auto" w:fill="EFD3D3" w:themeFill="accent2" w:themeFillTint="3F"/>
      </w:tcPr>
    </w:tblStylePr>
  </w:style>
  <w:style w:type="table" w:styleId="72">
    <w:name w:val="Medium List 1 Accent 3"/>
    <w:basedOn w:val="32"/>
    <w:qFormat/>
    <w:uiPriority w:val="65"/>
    <w:pPr>
      <w:spacing w:after="0" w:line="240" w:lineRule="auto"/>
    </w:pPr>
    <w:rPr>
      <w:color w:val="000000" w:themeColor="text1"/>
      <w14:textFill>
        <w14:solidFill>
          <w14:schemeClr w14:val="tx1"/>
        </w14:solidFill>
      </w14:textFill>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14:textFill>
          <w14:solidFill>
            <w14:schemeClr w14:val="tx2"/>
          </w14:solidFill>
        </w14:textFill>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73">
    <w:name w:val="Medium List 1 Accent 4"/>
    <w:basedOn w:val="32"/>
    <w:qFormat/>
    <w:uiPriority w:val="65"/>
    <w:pPr>
      <w:spacing w:after="0" w:line="240" w:lineRule="auto"/>
    </w:pPr>
    <w:rPr>
      <w:color w:val="000000" w:themeColor="text1"/>
      <w14:textFill>
        <w14:solidFill>
          <w14:schemeClr w14:val="tx1"/>
        </w14:solidFill>
      </w14:textFill>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14:textFill>
          <w14:solidFill>
            <w14:schemeClr w14:val="tx2"/>
          </w14:solidFill>
        </w14:textFill>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74">
    <w:name w:val="Medium List 1 Accent 5"/>
    <w:basedOn w:val="32"/>
    <w:qFormat/>
    <w:uiPriority w:val="65"/>
    <w:pPr>
      <w:spacing w:after="0" w:line="240" w:lineRule="auto"/>
    </w:pPr>
    <w:rPr>
      <w:color w:val="000000" w:themeColor="text1"/>
      <w14:textFill>
        <w14:solidFill>
          <w14:schemeClr w14:val="tx1"/>
        </w14:solidFill>
      </w14:textFill>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14:textFill>
          <w14:solidFill>
            <w14:schemeClr w14:val="tx2"/>
          </w14:solidFill>
        </w14:textFill>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0" w:themeFill="accent5" w:themeFillTint="3F"/>
      </w:tcPr>
    </w:tblStylePr>
    <w:tblStylePr w:type="band1Horz">
      <w:tblPr/>
      <w:tcPr>
        <w:shd w:val="clear" w:color="auto" w:fill="D2EAF0" w:themeFill="accent5" w:themeFillTint="3F"/>
      </w:tcPr>
    </w:tblStylePr>
  </w:style>
  <w:style w:type="table" w:styleId="75">
    <w:name w:val="Medium List 1 Accent 6"/>
    <w:basedOn w:val="32"/>
    <w:qFormat/>
    <w:uiPriority w:val="65"/>
    <w:pPr>
      <w:spacing w:after="0" w:line="240" w:lineRule="auto"/>
    </w:pPr>
    <w:rPr>
      <w:color w:val="000000" w:themeColor="text1"/>
      <w14:textFill>
        <w14:solidFill>
          <w14:schemeClr w14:val="tx1"/>
        </w14:solidFill>
      </w14:textFill>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14:textFill>
          <w14:solidFill>
            <w14:schemeClr w14:val="tx2"/>
          </w14:solidFill>
        </w14:textFill>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5D1" w:themeFill="accent6" w:themeFillTint="3F"/>
      </w:tcPr>
    </w:tblStylePr>
    <w:tblStylePr w:type="band1Horz">
      <w:tblPr/>
      <w:tcPr>
        <w:shd w:val="clear" w:color="auto" w:fill="FDE5D1" w:themeFill="accent6" w:themeFillTint="3F"/>
      </w:tcPr>
    </w:tblStylePr>
  </w:style>
  <w:style w:type="table" w:styleId="76">
    <w:name w:val="Medium List 2"/>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top w:val="nil"/>
          <w:bottom w:val="nil"/>
          <w:insideH w:val="nil"/>
          <w:insideV w:val="nil"/>
        </w:tcBorders>
        <w:shd w:val="clear" w:color="auto" w:fill="BFBFBF"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77">
    <w:name w:val="Medium List 2 Accent 1"/>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78">
    <w:name w:val="Medium List 2 Accent 2"/>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top w:val="nil"/>
          <w:bottom w:val="nil"/>
          <w:insideH w:val="nil"/>
          <w:insideV w:val="nil"/>
        </w:tcBorders>
        <w:shd w:val="clear" w:color="auto" w:fill="EFD3D3"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79">
    <w:name w:val="Medium List 2 Accent 3"/>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80">
    <w:name w:val="Medium List 2 Accent 4"/>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81">
    <w:name w:val="Medium List 2 Accent 5"/>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top w:val="nil"/>
          <w:bottom w:val="nil"/>
          <w:insideH w:val="nil"/>
          <w:insideV w:val="nil"/>
        </w:tcBorders>
        <w:shd w:val="clear" w:color="auto" w:fill="D2EA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82">
    <w:name w:val="Medium List 2 Accent 6"/>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top w:val="nil"/>
          <w:bottom w:val="nil"/>
          <w:insideH w:val="nil"/>
          <w:insideV w:val="nil"/>
        </w:tcBorders>
        <w:shd w:val="clear" w:color="auto" w:fill="FDE5D1"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83">
    <w:name w:val="Medium Grid 1"/>
    <w:basedOn w:val="32"/>
    <w:qFormat/>
    <w:uiPriority w:val="67"/>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insideV w:val="single" w:color="3F3F3F" w:themeColor="text1" w:themeTint="BF" w:sz="8" w:space="0"/>
      </w:tblBorders>
      <w:tblCellMar>
        <w:top w:w="0" w:type="dxa"/>
        <w:left w:w="108" w:type="dxa"/>
        <w:bottom w:w="0" w:type="dxa"/>
        <w:right w:w="108" w:type="dxa"/>
      </w:tblCellMar>
    </w:tblPr>
    <w:tcPr>
      <w:shd w:val="clear" w:color="auto" w:fill="BFBFBF" w:themeFill="text1" w:themeFillTint="3F"/>
    </w:tcPr>
    <w:tblStylePr w:type="firstRow">
      <w:rPr>
        <w:b/>
        <w:bCs/>
      </w:rPr>
    </w:tblStylePr>
    <w:tblStylePr w:type="lastRow">
      <w:rPr>
        <w:b/>
        <w:bCs/>
      </w:rPr>
      <w:tblPr/>
      <w:tcPr>
        <w:tcBorders>
          <w:top w:val="single" w:color="3F3F3F" w:themeColor="text1" w:themeTint="BF" w:sz="18" w:space="0"/>
        </w:tcBorders>
      </w:tcPr>
    </w:tblStylePr>
    <w:tblStylePr w:type="firstCol">
      <w:rPr>
        <w:b/>
        <w:bCs/>
      </w:rPr>
    </w:tblStylePr>
    <w:tblStylePr w:type="lastCol">
      <w:rPr>
        <w:b/>
        <w:bCs/>
      </w:r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84">
    <w:name w:val="Medium Grid 1 Accent 1"/>
    <w:basedOn w:val="32"/>
    <w:qFormat/>
    <w:uiPriority w:val="67"/>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85">
    <w:name w:val="Medium Grid 1 Accent 2"/>
    <w:basedOn w:val="32"/>
    <w:qFormat/>
    <w:uiPriority w:val="67"/>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CellMar>
        <w:top w:w="0" w:type="dxa"/>
        <w:left w:w="108" w:type="dxa"/>
        <w:bottom w:w="0" w:type="dxa"/>
        <w:right w:w="108" w:type="dxa"/>
      </w:tblCellMar>
    </w:tblPr>
    <w:tcPr>
      <w:shd w:val="clear" w:color="auto" w:fill="EFD3D3"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86">
    <w:name w:val="Medium Grid 1 Accent 3"/>
    <w:basedOn w:val="32"/>
    <w:qFormat/>
    <w:uiPriority w:val="67"/>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insideV w:val="single" w:color="B4CC82" w:themeColor="accent3" w:themeTint="BF" w:sz="8" w:space="0"/>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color="B4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87">
    <w:name w:val="Medium Grid 1 Accent 4"/>
    <w:basedOn w:val="32"/>
    <w:qFormat/>
    <w:uiPriority w:val="67"/>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88">
    <w:name w:val="Medium Grid 1 Accent 5"/>
    <w:basedOn w:val="32"/>
    <w:qFormat/>
    <w:uiPriority w:val="67"/>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CellMar>
        <w:top w:w="0" w:type="dxa"/>
        <w:left w:w="108" w:type="dxa"/>
        <w:bottom w:w="0" w:type="dxa"/>
        <w:right w:w="108" w:type="dxa"/>
      </w:tblCellMar>
    </w:tblPr>
    <w:tcPr>
      <w:shd w:val="clear" w:color="auto" w:fill="D2EAF0"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89">
    <w:name w:val="Medium Grid 1 Accent 6"/>
    <w:basedOn w:val="32"/>
    <w:qFormat/>
    <w:uiPriority w:val="67"/>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CellMar>
        <w:top w:w="0" w:type="dxa"/>
        <w:left w:w="108" w:type="dxa"/>
        <w:bottom w:w="0" w:type="dxa"/>
        <w:right w:w="108" w:type="dxa"/>
      </w:tblCellMar>
    </w:tblPr>
    <w:tcPr>
      <w:shd w:val="clear" w:color="auto" w:fill="FDE5D1"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90">
    <w:name w:val="Medium Grid 2"/>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BFBFBF" w:themeFill="text1" w:themeFillTint="3F"/>
    </w:tcPr>
    <w:tblStylePr w:type="firstRow">
      <w:rPr>
        <w:b/>
        <w:bCs/>
        <w:color w:val="000000" w:themeColor="text1"/>
        <w14:textFill>
          <w14:solidFill>
            <w14:schemeClr w14:val="tx1"/>
          </w14:solidFill>
        </w14:textFill>
      </w:rPr>
      <w:tblPr/>
      <w:tcPr>
        <w:shd w:val="clear" w:color="auto" w:fill="E5E5E5" w:themeFill="tex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7F7F7F" w:themeFill="text1" w:themeFillTint="7F"/>
      </w:tcPr>
    </w:tblStylePr>
    <w:tblStylePr w:type="band1Horz">
      <w:tblPr/>
      <w:tcPr>
        <w:tcBorders>
          <w:insideH w:val="single" w:sz="6" w:space="0"/>
          <w:insideV w:val="single" w:sz="6" w:space="0"/>
        </w:tcBorders>
        <w:shd w:val="clear" w:color="auto" w:fill="7F7F7F" w:themeFill="text1" w:themeFillTint="7F"/>
      </w:tcPr>
    </w:tblStylePr>
    <w:tblStylePr w:type="nwCell">
      <w:tblPr/>
      <w:tcPr>
        <w:shd w:val="clear" w:color="auto" w:fill="FFFFFF" w:themeFill="background1"/>
      </w:tcPr>
    </w:tblStylePr>
  </w:style>
  <w:style w:type="table" w:styleId="91">
    <w:name w:val="Medium Grid 2 Accent 1"/>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14:textFill>
          <w14:solidFill>
            <w14:schemeClr w14:val="tx1"/>
          </w14:solidFill>
        </w14:textFill>
      </w:rPr>
      <w:tblPr/>
      <w:tcPr>
        <w:shd w:val="clear" w:color="auto" w:fill="EDF2F8" w:themeFill="accen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C0DE" w:themeFill="accent1" w:themeFillTint="7F"/>
      </w:tcPr>
    </w:tblStylePr>
    <w:tblStylePr w:type="band1Horz">
      <w:tblPr/>
      <w:tcPr>
        <w:tcBorders>
          <w:insideH w:val="single" w:sz="6" w:space="0"/>
          <w:insideV w:val="single" w:sz="6" w:space="0"/>
        </w:tcBorders>
        <w:shd w:val="clear" w:color="auto" w:fill="A7C0DE" w:themeFill="accent1" w:themeFillTint="7F"/>
      </w:tcPr>
    </w:tblStylePr>
    <w:tblStylePr w:type="nwCell">
      <w:tblPr/>
      <w:tcPr>
        <w:shd w:val="clear" w:color="auto" w:fill="FFFFFF" w:themeFill="background1"/>
      </w:tcPr>
    </w:tblStylePr>
  </w:style>
  <w:style w:type="table" w:styleId="92">
    <w:name w:val="Medium Grid 2 Accent 2"/>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cPr>
      <w:shd w:val="clear" w:color="auto" w:fill="EFD3D3" w:themeFill="accent2" w:themeFillTint="3F"/>
    </w:tcPr>
    <w:tblStylePr w:type="firstRow">
      <w:rPr>
        <w:b/>
        <w:bCs/>
        <w:color w:val="000000" w:themeColor="text1"/>
        <w14:textFill>
          <w14:solidFill>
            <w14:schemeClr w14:val="tx1"/>
          </w14:solidFill>
        </w14:textFill>
      </w:rPr>
      <w:tblPr/>
      <w:tcPr>
        <w:shd w:val="clear" w:color="auto" w:fill="F8EDED" w:themeFill="accent2"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insideV w:val="single" w:sz="6" w:space="0"/>
        </w:tcBorders>
        <w:shd w:val="clear" w:color="auto" w:fill="DFA7A6" w:themeFill="accent2" w:themeFillTint="7F"/>
      </w:tcPr>
    </w:tblStylePr>
    <w:tblStylePr w:type="nwCell">
      <w:tblPr/>
      <w:tcPr>
        <w:shd w:val="clear" w:color="auto" w:fill="FFFFFF" w:themeFill="background1"/>
      </w:tcPr>
    </w:tblStylePr>
  </w:style>
  <w:style w:type="table" w:styleId="93">
    <w:name w:val="Medium Grid 2 Accent 3"/>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14:textFill>
          <w14:solidFill>
            <w14:schemeClr w14:val="tx1"/>
          </w14:solidFill>
        </w14:textFill>
      </w:rPr>
      <w:tblPr/>
      <w:tcPr>
        <w:shd w:val="clear" w:color="auto" w:fill="F5F8EE" w:themeFill="accent3"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insideV w:val="single" w:sz="6" w:space="0"/>
        </w:tcBorders>
        <w:shd w:val="clear" w:color="auto" w:fill="CDDDAC" w:themeFill="accent3" w:themeFillTint="7F"/>
      </w:tcPr>
    </w:tblStylePr>
    <w:tblStylePr w:type="nwCell">
      <w:tblPr/>
      <w:tcPr>
        <w:shd w:val="clear" w:color="auto" w:fill="FFFFFF" w:themeFill="background1"/>
      </w:tcPr>
    </w:tblStylePr>
  </w:style>
  <w:style w:type="table" w:styleId="94">
    <w:name w:val="Medium Grid 2 Accent 4"/>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14:textFill>
          <w14:solidFill>
            <w14:schemeClr w14:val="tx1"/>
          </w14:solidFill>
        </w14:textFill>
      </w:rPr>
      <w:tblPr/>
      <w:tcPr>
        <w:shd w:val="clear" w:color="auto" w:fill="F2EFF5" w:themeFill="accent4"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insideV w:val="single" w:sz="6" w:space="0"/>
        </w:tcBorders>
        <w:shd w:val="clear" w:color="auto" w:fill="BFB1D0" w:themeFill="accent4" w:themeFillTint="7F"/>
      </w:tcPr>
    </w:tblStylePr>
    <w:tblStylePr w:type="nwCell">
      <w:tblPr/>
      <w:tcPr>
        <w:shd w:val="clear" w:color="auto" w:fill="FFFFFF" w:themeFill="background1"/>
      </w:tcPr>
    </w:tblStylePr>
  </w:style>
  <w:style w:type="table" w:styleId="95">
    <w:name w:val="Medium Grid 2 Accent 5"/>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cPr>
      <w:shd w:val="clear" w:color="auto" w:fill="D2EAF0" w:themeFill="accent5" w:themeFillTint="3F"/>
    </w:tcPr>
    <w:tblStylePr w:type="firstRow">
      <w:rPr>
        <w:b/>
        <w:bCs/>
        <w:color w:val="000000" w:themeColor="text1"/>
        <w14:textFill>
          <w14:solidFill>
            <w14:schemeClr w14:val="tx1"/>
          </w14:solidFill>
        </w14:textFill>
      </w:rPr>
      <w:tblPr/>
      <w:tcPr>
        <w:shd w:val="clear" w:color="auto" w:fill="EDF6F9" w:themeFill="accent5"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insideV w:val="single" w:sz="6" w:space="0"/>
        </w:tcBorders>
        <w:shd w:val="clear" w:color="auto" w:fill="A5D5E2" w:themeFill="accent5" w:themeFillTint="7F"/>
      </w:tcPr>
    </w:tblStylePr>
    <w:tblStylePr w:type="nwCell">
      <w:tblPr/>
      <w:tcPr>
        <w:shd w:val="clear" w:color="auto" w:fill="FFFFFF" w:themeFill="background1"/>
      </w:tcPr>
    </w:tblStylePr>
  </w:style>
  <w:style w:type="table" w:styleId="96">
    <w:name w:val="Medium Grid 2 Accent 6"/>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cPr>
      <w:shd w:val="clear" w:color="auto" w:fill="FDE5D1" w:themeFill="accent6" w:themeFillTint="3F"/>
    </w:tcPr>
    <w:tblStylePr w:type="firstRow">
      <w:rPr>
        <w:b/>
        <w:bCs/>
        <w:color w:val="000000" w:themeColor="text1"/>
        <w14:textFill>
          <w14:solidFill>
            <w14:schemeClr w14:val="tx1"/>
          </w14:solidFill>
        </w14:textFill>
      </w:rPr>
      <w:tblPr/>
      <w:tcPr>
        <w:shd w:val="clear" w:color="auto" w:fill="FEF4EC" w:themeFill="accent6"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insideV w:val="single" w:sz="6" w:space="0"/>
        </w:tcBorders>
        <w:shd w:val="clear" w:color="auto" w:fill="FBCAA2" w:themeFill="accent6" w:themeFillTint="7F"/>
      </w:tcPr>
    </w:tblStylePr>
    <w:tblStylePr w:type="nwCell">
      <w:tblPr/>
      <w:tcPr>
        <w:shd w:val="clear" w:color="auto" w:fill="FFFFFF" w:themeFill="background1"/>
      </w:tcPr>
    </w:tblStylePr>
  </w:style>
  <w:style w:type="table" w:styleId="97">
    <w:name w:val="Medium Grid 3"/>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BFBFBF" w:themeFill="tex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000000" w:themeFill="tex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000000" w:themeFill="tex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7F7F7F"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7F7F7F" w:themeFill="text1" w:themeFillTint="7F"/>
      </w:tcPr>
    </w:tblStylePr>
  </w:style>
  <w:style w:type="table" w:styleId="98">
    <w:name w:val="Medium Grid 3 Accent 1"/>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table" w:styleId="99">
    <w:name w:val="Medium Grid 3 Accent 2"/>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FD3D3" w:themeFill="accent2"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C0504D" w:themeFill="accent2"/>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C0504D" w:themeFill="accent2"/>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DFA7A6" w:themeFill="accent2" w:themeFillTint="7F"/>
      </w:tcPr>
    </w:tblStylePr>
  </w:style>
  <w:style w:type="table" w:styleId="100">
    <w:name w:val="Medium Grid 3 Accent 3"/>
    <w:basedOn w:val="3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9BBB59" w:themeFill="accent3"/>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9BBB59" w:themeFill="accent3"/>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CDDDAC" w:themeFill="accent3" w:themeFillTint="7F"/>
      </w:tcPr>
    </w:tblStylePr>
  </w:style>
  <w:style w:type="table" w:styleId="101">
    <w:name w:val="Medium Grid 3 Accent 4"/>
    <w:basedOn w:val="3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8064A2" w:themeFill="accent4"/>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8064A2" w:themeFill="accent4"/>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BFB1D0" w:themeFill="accent4" w:themeFillTint="7F"/>
      </w:tcPr>
    </w:tblStylePr>
  </w:style>
  <w:style w:type="table" w:styleId="102">
    <w:name w:val="Medium Grid 3 Accent 5"/>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2EAF0" w:themeFill="accent5"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BACC6" w:themeFill="accent5"/>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BACC6" w:themeFill="accent5"/>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5D5E2" w:themeFill="accent5" w:themeFillTint="7F"/>
      </w:tcPr>
    </w:tblStylePr>
  </w:style>
  <w:style w:type="table" w:styleId="103">
    <w:name w:val="Medium Grid 3 Accent 6"/>
    <w:basedOn w:val="32"/>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DE5D1" w:themeFill="accent6"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F79646" w:themeFill="accent6"/>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F79646" w:themeFill="accent6"/>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FBCAA2" w:themeFill="accent6" w:themeFillTint="7F"/>
      </w:tcPr>
    </w:tblStylePr>
  </w:style>
  <w:style w:type="table" w:styleId="104">
    <w:name w:val="Dark List"/>
    <w:basedOn w:val="3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05">
    <w:name w:val="Dark List Accent 1"/>
    <w:basedOn w:val="3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1"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60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6091" w:themeFill="accent1" w:themeFillShade="BF"/>
      </w:tcPr>
    </w:tblStylePr>
    <w:tblStylePr w:type="band1Vert">
      <w:tblPr/>
      <w:tcPr>
        <w:tcBorders>
          <w:top w:val="nil"/>
          <w:left w:val="nil"/>
          <w:bottom w:val="nil"/>
          <w:right w:val="nil"/>
          <w:insideH w:val="nil"/>
          <w:insideV w:val="nil"/>
        </w:tcBorders>
        <w:shd w:val="clear" w:color="auto" w:fill="366091" w:themeFill="accent1" w:themeFillShade="BF"/>
      </w:tcPr>
    </w:tblStylePr>
    <w:tblStylePr w:type="band1Horz">
      <w:tblPr/>
      <w:tcPr>
        <w:tcBorders>
          <w:top w:val="nil"/>
          <w:left w:val="nil"/>
          <w:bottom w:val="nil"/>
          <w:right w:val="nil"/>
          <w:insideH w:val="nil"/>
          <w:insideV w:val="nil"/>
        </w:tcBorders>
        <w:shd w:val="clear" w:color="auto" w:fill="366091" w:themeFill="accent1" w:themeFillShade="BF"/>
      </w:tcPr>
    </w:tblStylePr>
  </w:style>
  <w:style w:type="table" w:styleId="106">
    <w:name w:val="Dark List Accent 2"/>
    <w:basedOn w:val="3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7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734" w:themeFill="accent2" w:themeFillShade="BF"/>
      </w:tcPr>
    </w:tblStylePr>
    <w:tblStylePr w:type="band1Vert">
      <w:tblPr/>
      <w:tcPr>
        <w:tcBorders>
          <w:top w:val="nil"/>
          <w:left w:val="nil"/>
          <w:bottom w:val="nil"/>
          <w:right w:val="nil"/>
          <w:insideH w:val="nil"/>
          <w:insideV w:val="nil"/>
        </w:tcBorders>
        <w:shd w:val="clear" w:color="auto" w:fill="943734" w:themeFill="accent2" w:themeFillShade="BF"/>
      </w:tcPr>
    </w:tblStylePr>
    <w:tblStylePr w:type="band1Horz">
      <w:tblPr/>
      <w:tcPr>
        <w:tcBorders>
          <w:top w:val="nil"/>
          <w:left w:val="nil"/>
          <w:bottom w:val="nil"/>
          <w:right w:val="nil"/>
          <w:insideH w:val="nil"/>
          <w:insideV w:val="nil"/>
        </w:tcBorders>
        <w:shd w:val="clear" w:color="auto" w:fill="943734" w:themeFill="accent2" w:themeFillShade="BF"/>
      </w:tcPr>
    </w:tblStylePr>
  </w:style>
  <w:style w:type="table" w:styleId="107">
    <w:name w:val="Dark List Accent 3"/>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7"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108">
    <w:name w:val="Dark List Accent 4"/>
    <w:basedOn w:val="32"/>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0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109">
    <w:name w:val="Dark List Accent 5"/>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110">
    <w:name w:val="Dark List Accent 6"/>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9"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9" w:themeFill="accent6" w:themeFillShade="BF"/>
      </w:tcPr>
    </w:tblStylePr>
    <w:tblStylePr w:type="band1Vert">
      <w:tblPr/>
      <w:tcPr>
        <w:tcBorders>
          <w:top w:val="nil"/>
          <w:left w:val="nil"/>
          <w:bottom w:val="nil"/>
          <w:right w:val="nil"/>
          <w:insideH w:val="nil"/>
          <w:insideV w:val="nil"/>
        </w:tcBorders>
        <w:shd w:val="clear" w:color="auto" w:fill="E36C09" w:themeFill="accent6" w:themeFillShade="BF"/>
      </w:tcPr>
    </w:tblStylePr>
    <w:tblStylePr w:type="band1Horz">
      <w:tblPr/>
      <w:tcPr>
        <w:tcBorders>
          <w:top w:val="nil"/>
          <w:left w:val="nil"/>
          <w:bottom w:val="nil"/>
          <w:right w:val="nil"/>
          <w:insideH w:val="nil"/>
          <w:insideV w:val="nil"/>
        </w:tcBorders>
        <w:shd w:val="clear" w:color="auto" w:fill="E36C09" w:themeFill="accent6" w:themeFillShade="BF"/>
      </w:tcPr>
    </w:tblStylePr>
  </w:style>
  <w:style w:type="table" w:styleId="111">
    <w:name w:val="Colorful Shading"/>
    <w:basedOn w:val="32"/>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5E5E5"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000000" w:themeFill="tex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000000" w:themeFill="tex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7F7F7F" w:themeFill="tex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2">
    <w:name w:val="Colorful Shading Accent 1"/>
    <w:basedOn w:val="32"/>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B4D74" w:themeFill="accen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B4D74" w:themeFill="accen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B4D74" w:themeFill="accent1" w:themeFillShade="99"/>
      </w:tcPr>
    </w:tblStylePr>
    <w:tblStylePr w:type="band1Vert">
      <w:tblPr/>
      <w:tcPr>
        <w:shd w:val="clear" w:color="auto" w:fill="B8CCE4" w:themeFill="accent1" w:themeFillTint="66"/>
      </w:tcPr>
    </w:tblStylePr>
    <w:tblStylePr w:type="band1Horz">
      <w:tblPr/>
      <w:tcPr>
        <w:shd w:val="clear" w:color="auto" w:fill="A7C0DE" w:themeFill="accen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3">
    <w:name w:val="Colorful Shading Accent 2"/>
    <w:basedOn w:val="32"/>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772C2A" w:themeFill="accent2"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772C2A" w:themeFill="accent2"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4">
    <w:name w:val="Colorful Shading Accent 3"/>
    <w:basedOn w:val="32"/>
    <w:uiPriority w:val="71"/>
    <w:pPr>
      <w:spacing w:after="0" w:line="240" w:lineRule="auto"/>
    </w:pPr>
    <w:rPr>
      <w:color w:val="000000" w:themeColor="text1"/>
      <w14:textFill>
        <w14:solidFill>
          <w14:schemeClr w14:val="tx1"/>
        </w14:solidFill>
      </w14:textFill>
    </w:rPr>
    <w:tblPr>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5E7530" w:themeFill="accent3"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5E7530" w:themeFill="accent3"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115">
    <w:name w:val="Colorful Shading Accent 4"/>
    <w:basedOn w:val="32"/>
    <w:uiPriority w:val="71"/>
    <w:pPr>
      <w:spacing w:after="0" w:line="240" w:lineRule="auto"/>
    </w:pPr>
    <w:rPr>
      <w:color w:val="000000" w:themeColor="text1"/>
      <w14:textFill>
        <w14:solidFill>
          <w14:schemeClr w14:val="tx1"/>
        </w14:solidFill>
      </w14:textFill>
    </w:rPr>
    <w:tblPr>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EFF5"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4C3A62" w:themeFill="accent4"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4C3A62" w:themeFill="accent4"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4C3A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6">
    <w:name w:val="Colorful Shading Accent 5"/>
    <w:basedOn w:val="32"/>
    <w:uiPriority w:val="71"/>
    <w:pPr>
      <w:spacing w:after="0" w:line="240" w:lineRule="auto"/>
    </w:pPr>
    <w:rPr>
      <w:color w:val="000000" w:themeColor="text1"/>
      <w14:textFill>
        <w14:solidFill>
          <w14:schemeClr w14:val="tx1"/>
        </w14:solidFill>
      </w14:textFill>
    </w:rPr>
    <w:tblPr>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76A7C" w:themeFill="accent5"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76A7C" w:themeFill="accent5"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7">
    <w:name w:val="Colorful Shading Accent 6"/>
    <w:basedOn w:val="32"/>
    <w:qFormat/>
    <w:uiPriority w:val="71"/>
    <w:pPr>
      <w:spacing w:after="0" w:line="240" w:lineRule="auto"/>
    </w:pPr>
    <w:rPr>
      <w:color w:val="000000" w:themeColor="text1"/>
      <w14:textFill>
        <w14:solidFill>
          <w14:schemeClr w14:val="tx1"/>
        </w14:solidFill>
      </w14:textFill>
    </w:rPr>
    <w:tblPr>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B65607" w:themeFill="accent6"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B65607" w:themeFill="accent6"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B65607"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8">
    <w:name w:val="Colorful List"/>
    <w:basedOn w:val="3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5E5E5" w:themeFill="tex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FBFBF" w:themeFill="text1" w:themeFillTint="3F"/>
      </w:tcPr>
    </w:tblStylePr>
    <w:tblStylePr w:type="band1Horz">
      <w:tblPr/>
      <w:tcPr>
        <w:shd w:val="clear" w:color="auto" w:fill="CCCCCC" w:themeFill="text1" w:themeFillTint="33"/>
      </w:tcPr>
    </w:tblStylePr>
  </w:style>
  <w:style w:type="table" w:styleId="119">
    <w:name w:val="Colorful List Accent 1"/>
    <w:basedOn w:val="3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120">
    <w:name w:val="Colorful List Accent 2"/>
    <w:basedOn w:val="3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3" w:themeFill="accent2" w:themeFillTint="3F"/>
      </w:tcPr>
    </w:tblStylePr>
    <w:tblStylePr w:type="band1Horz">
      <w:tblPr/>
      <w:tcPr>
        <w:shd w:val="clear" w:color="auto" w:fill="F2DBDB" w:themeFill="accent2" w:themeFillTint="33"/>
      </w:tcPr>
    </w:tblStylePr>
  </w:style>
  <w:style w:type="table" w:styleId="121">
    <w:name w:val="Colorful List Accent 3"/>
    <w:basedOn w:val="3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664E82" w:themeFill="accent4" w:themeFillShade="CC"/>
      </w:tcPr>
    </w:tblStylePr>
    <w:tblStylePr w:type="lastRow">
      <w:rPr>
        <w:b/>
        <w:bCs/>
        <w:color w:val="664F83"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122">
    <w:name w:val="Colorful List Accent 4"/>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2EFF5" w:themeFill="accent4"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7E9C40" w:themeFill="accent3" w:themeFillShade="CC"/>
      </w:tcPr>
    </w:tblStylePr>
    <w:tblStylePr w:type="lastRow">
      <w:rPr>
        <w:b/>
        <w:bCs/>
        <w:color w:val="7E9D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123">
    <w:name w:val="Colorful List Accent 5"/>
    <w:basedOn w:val="3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F3730A" w:themeFill="accent6" w:themeFillShade="CC"/>
      </w:tcPr>
    </w:tblStylePr>
    <w:tblStylePr w:type="lastRow">
      <w:rPr>
        <w:b/>
        <w:bCs/>
        <w:color w:val="F3740B"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0" w:themeFill="accent5" w:themeFillTint="3F"/>
      </w:tcPr>
    </w:tblStylePr>
    <w:tblStylePr w:type="band1Horz">
      <w:tblPr/>
      <w:tcPr>
        <w:shd w:val="clear" w:color="auto" w:fill="DAEEF3" w:themeFill="accent5" w:themeFillTint="33"/>
      </w:tcPr>
    </w:tblStylePr>
  </w:style>
  <w:style w:type="table" w:styleId="124">
    <w:name w:val="Colorful List Accent 6"/>
    <w:basedOn w:val="32"/>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348DA5" w:themeFill="accent5" w:themeFillShade="CC"/>
      </w:tcPr>
    </w:tblStylePr>
    <w:tblStylePr w:type="lastRow">
      <w:rPr>
        <w:b/>
        <w:bCs/>
        <w:color w:val="358EA6"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5D1" w:themeFill="accent6" w:themeFillTint="3F"/>
      </w:tcPr>
    </w:tblStylePr>
    <w:tblStylePr w:type="band1Horz">
      <w:tblPr/>
      <w:tcPr>
        <w:shd w:val="clear" w:color="auto" w:fill="FDE9D9" w:themeFill="accent6" w:themeFillTint="33"/>
      </w:tcPr>
    </w:tblStylePr>
  </w:style>
  <w:style w:type="table" w:styleId="125">
    <w:name w:val="Colorful Grid"/>
    <w:basedOn w:val="3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14:textFill>
          <w14:solidFill>
            <w14:schemeClr w14:val="tx1"/>
          </w14:solidFill>
        </w14:textFill>
      </w:rPr>
      <w:tblPr/>
      <w:tcPr>
        <w:shd w:val="clear" w:color="auto" w:fill="999999" w:themeFill="text1" w:themeFillTint="66"/>
      </w:tcPr>
    </w:tblStylePr>
    <w:tblStylePr w:type="firstCol">
      <w:rPr>
        <w:color w:val="FFFFFF" w:themeColor="background1"/>
        <w14:textFill>
          <w14:solidFill>
            <w14:schemeClr w14:val="bg1"/>
          </w14:solidFill>
        </w14:textFill>
      </w:rPr>
      <w:tblPr/>
      <w:tcPr>
        <w:shd w:val="clear" w:color="auto" w:fill="000000" w:themeFill="text1" w:themeFillShade="BF"/>
      </w:tcPr>
    </w:tblStylePr>
    <w:tblStylePr w:type="lastCol">
      <w:rPr>
        <w:color w:val="FFFFFF" w:themeColor="background1"/>
        <w14:textFill>
          <w14:solidFill>
            <w14:schemeClr w14:val="bg1"/>
          </w14:solidFill>
        </w14:textFill>
      </w:rPr>
      <w:tblPr/>
      <w:tcPr>
        <w:shd w:val="clear" w:color="auto" w:fill="000000" w:themeFill="text1" w:themeFillShade="BF"/>
      </w:tc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126">
    <w:name w:val="Colorful Grid Accent 1"/>
    <w:basedOn w:val="3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14:textFill>
          <w14:solidFill>
            <w14:schemeClr w14:val="tx1"/>
          </w14:solidFill>
        </w14:textFill>
      </w:rPr>
      <w:tblPr/>
      <w:tcPr>
        <w:shd w:val="clear" w:color="auto" w:fill="B8CCE4" w:themeFill="accent1" w:themeFillTint="66"/>
      </w:tcPr>
    </w:tblStylePr>
    <w:tblStylePr w:type="firstCol">
      <w:rPr>
        <w:color w:val="FFFFFF" w:themeColor="background1"/>
        <w14:textFill>
          <w14:solidFill>
            <w14:schemeClr w14:val="bg1"/>
          </w14:solidFill>
        </w14:textFill>
      </w:rPr>
      <w:tblPr/>
      <w:tcPr>
        <w:shd w:val="clear" w:color="auto" w:fill="366091" w:themeFill="accent1" w:themeFillShade="BF"/>
      </w:tcPr>
    </w:tblStylePr>
    <w:tblStylePr w:type="lastCol">
      <w:rPr>
        <w:color w:val="FFFFFF" w:themeColor="background1"/>
        <w14:textFill>
          <w14:solidFill>
            <w14:schemeClr w14:val="bg1"/>
          </w14:solidFill>
        </w14:textFill>
      </w:rPr>
      <w:tblPr/>
      <w:tcPr>
        <w:shd w:val="clear" w:color="auto" w:fill="366091" w:themeFill="accent1" w:themeFillShade="BF"/>
      </w:tc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127">
    <w:name w:val="Colorful Grid Accent 2"/>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14:textFill>
          <w14:solidFill>
            <w14:schemeClr w14:val="tx1"/>
          </w14:solidFill>
        </w14:textFill>
      </w:rPr>
      <w:tblPr/>
      <w:tcPr>
        <w:shd w:val="clear" w:color="auto" w:fill="E5B8B7" w:themeFill="accent2" w:themeFillTint="66"/>
      </w:tcPr>
    </w:tblStylePr>
    <w:tblStylePr w:type="firstCol">
      <w:rPr>
        <w:color w:val="FFFFFF" w:themeColor="background1"/>
        <w14:textFill>
          <w14:solidFill>
            <w14:schemeClr w14:val="bg1"/>
          </w14:solidFill>
        </w14:textFill>
      </w:rPr>
      <w:tblPr/>
      <w:tcPr>
        <w:shd w:val="clear" w:color="auto" w:fill="943734" w:themeFill="accent2" w:themeFillShade="BF"/>
      </w:tcPr>
    </w:tblStylePr>
    <w:tblStylePr w:type="lastCol">
      <w:rPr>
        <w:color w:val="FFFFFF" w:themeColor="background1"/>
        <w14:textFill>
          <w14:solidFill>
            <w14:schemeClr w14:val="bg1"/>
          </w14:solidFill>
        </w14:textFill>
      </w:rPr>
      <w:tblPr/>
      <w:tcPr>
        <w:shd w:val="clear" w:color="auto" w:fill="9437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28">
    <w:name w:val="Colorful Grid Accent 3"/>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14:textFill>
          <w14:solidFill>
            <w14:schemeClr w14:val="tx1"/>
          </w14:solidFill>
        </w14:textFill>
      </w:rPr>
      <w:tblPr/>
      <w:tcPr>
        <w:shd w:val="clear" w:color="auto" w:fill="D6E3BC" w:themeFill="accent3" w:themeFillTint="66"/>
      </w:tcPr>
    </w:tblStylePr>
    <w:tblStylePr w:type="firstCol">
      <w:rPr>
        <w:color w:val="FFFFFF" w:themeColor="background1"/>
        <w14:textFill>
          <w14:solidFill>
            <w14:schemeClr w14:val="bg1"/>
          </w14:solidFill>
        </w14:textFill>
      </w:rPr>
      <w:tblPr/>
      <w:tcPr>
        <w:shd w:val="clear" w:color="auto" w:fill="76923C" w:themeFill="accent3" w:themeFillShade="BF"/>
      </w:tcPr>
    </w:tblStylePr>
    <w:tblStylePr w:type="lastCol">
      <w:rPr>
        <w:color w:val="FFFFFF" w:themeColor="background1"/>
        <w14:textFill>
          <w14:solidFill>
            <w14:schemeClr w14:val="bg1"/>
          </w14:solidFill>
        </w14:textFill>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29">
    <w:name w:val="Colorful Grid Accent 4"/>
    <w:basedOn w:val="3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14:textFill>
          <w14:solidFill>
            <w14:schemeClr w14:val="tx1"/>
          </w14:solidFill>
        </w14:textFill>
      </w:rPr>
      <w:tblPr/>
      <w:tcPr>
        <w:shd w:val="clear" w:color="auto" w:fill="CCC0D9" w:themeFill="accent4" w:themeFillTint="66"/>
      </w:tcPr>
    </w:tblStylePr>
    <w:tblStylePr w:type="firstCol">
      <w:rPr>
        <w:color w:val="FFFFFF" w:themeColor="background1"/>
        <w14:textFill>
          <w14:solidFill>
            <w14:schemeClr w14:val="bg1"/>
          </w14:solidFill>
        </w14:textFill>
      </w:rPr>
      <w:tblPr/>
      <w:tcPr>
        <w:shd w:val="clear" w:color="auto" w:fill="5F497A" w:themeFill="accent4" w:themeFillShade="BF"/>
      </w:tcPr>
    </w:tblStylePr>
    <w:tblStylePr w:type="lastCol">
      <w:rPr>
        <w:color w:val="FFFFFF" w:themeColor="background1"/>
        <w14:textFill>
          <w14:solidFill>
            <w14:schemeClr w14:val="bg1"/>
          </w14:solidFill>
        </w14:textFill>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30">
    <w:name w:val="Colorful Grid Accent 5"/>
    <w:basedOn w:val="3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14:textFill>
          <w14:solidFill>
            <w14:schemeClr w14:val="tx1"/>
          </w14:solidFill>
        </w14:textFill>
      </w:rPr>
      <w:tblPr/>
      <w:tcPr>
        <w:shd w:val="clear" w:color="auto" w:fill="B6DDE8" w:themeFill="accent5" w:themeFillTint="66"/>
      </w:tcPr>
    </w:tblStylePr>
    <w:tblStylePr w:type="firstCol">
      <w:rPr>
        <w:color w:val="FFFFFF" w:themeColor="background1"/>
        <w14:textFill>
          <w14:solidFill>
            <w14:schemeClr w14:val="bg1"/>
          </w14:solidFill>
        </w14:textFill>
      </w:rPr>
      <w:tblPr/>
      <w:tcPr>
        <w:shd w:val="clear" w:color="auto" w:fill="31849B" w:themeFill="accent5" w:themeFillShade="BF"/>
      </w:tcPr>
    </w:tblStylePr>
    <w:tblStylePr w:type="lastCol">
      <w:rPr>
        <w:color w:val="FFFFFF" w:themeColor="background1"/>
        <w14:textFill>
          <w14:solidFill>
            <w14:schemeClr w14:val="bg1"/>
          </w14:solidFill>
        </w14:textFill>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31">
    <w:name w:val="Colorful Grid Accent 6"/>
    <w:basedOn w:val="32"/>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14:textFill>
          <w14:solidFill>
            <w14:schemeClr w14:val="tx1"/>
          </w14:solidFill>
        </w14:textFill>
      </w:rPr>
      <w:tblPr/>
      <w:tcPr>
        <w:shd w:val="clear" w:color="auto" w:fill="FBD4B4" w:themeFill="accent6" w:themeFillTint="66"/>
      </w:tcPr>
    </w:tblStylePr>
    <w:tblStylePr w:type="firstCol">
      <w:rPr>
        <w:color w:val="FFFFFF" w:themeColor="background1"/>
        <w14:textFill>
          <w14:solidFill>
            <w14:schemeClr w14:val="bg1"/>
          </w14:solidFill>
        </w14:textFill>
      </w:rPr>
      <w:tblPr/>
      <w:tcPr>
        <w:shd w:val="clear" w:color="auto" w:fill="E36C09" w:themeFill="accent6" w:themeFillShade="BF"/>
      </w:tcPr>
    </w:tblStylePr>
    <w:tblStylePr w:type="lastCol">
      <w:rPr>
        <w:color w:val="FFFFFF" w:themeColor="background1"/>
        <w14:textFill>
          <w14:solidFill>
            <w14:schemeClr w14:val="bg1"/>
          </w14:solidFill>
        </w14:textFill>
      </w:rPr>
      <w:tblPr/>
      <w:tcPr>
        <w:shd w:val="clear" w:color="auto" w:fill="E36C09"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133">
    <w:name w:val="Strong"/>
    <w:basedOn w:val="132"/>
    <w:qFormat/>
    <w:uiPriority w:val="22"/>
    <w:rPr>
      <w:b/>
      <w:bCs/>
    </w:rPr>
  </w:style>
  <w:style w:type="character" w:styleId="134">
    <w:name w:val="Emphasis"/>
    <w:basedOn w:val="132"/>
    <w:qFormat/>
    <w:uiPriority w:val="20"/>
    <w:rPr>
      <w:i/>
      <w:iCs/>
    </w:rPr>
  </w:style>
  <w:style w:type="character" w:customStyle="1" w:styleId="135">
    <w:name w:val="Header Char"/>
    <w:basedOn w:val="132"/>
    <w:link w:val="25"/>
    <w:uiPriority w:val="99"/>
  </w:style>
  <w:style w:type="character" w:customStyle="1" w:styleId="136">
    <w:name w:val="Footer Char"/>
    <w:basedOn w:val="132"/>
    <w:link w:val="24"/>
    <w:uiPriority w:val="99"/>
  </w:style>
  <w:style w:type="paragraph" w:styleId="137">
    <w:name w:val="No Spacing"/>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138">
    <w:name w:val="Heading 1 Char"/>
    <w:basedOn w:val="132"/>
    <w:link w:val="3"/>
    <w:qFormat/>
    <w:uiPriority w:val="9"/>
    <w:rPr>
      <w:rFonts w:asciiTheme="majorHAnsi" w:hAnsiTheme="majorHAnsi" w:eastAsiaTheme="majorEastAsia" w:cstheme="majorBidi"/>
      <w:b/>
      <w:bCs/>
      <w:color w:val="376092" w:themeColor="accent1" w:themeShade="BF"/>
      <w:sz w:val="28"/>
      <w:szCs w:val="28"/>
    </w:rPr>
  </w:style>
  <w:style w:type="character" w:customStyle="1" w:styleId="139">
    <w:name w:val="Heading 2 Char"/>
    <w:basedOn w:val="132"/>
    <w:link w:val="4"/>
    <w:qFormat/>
    <w:uiPriority w:val="9"/>
    <w:rPr>
      <w:rFonts w:asciiTheme="majorHAnsi" w:hAnsiTheme="majorHAnsi" w:eastAsiaTheme="majorEastAsia" w:cstheme="majorBidi"/>
      <w:b/>
      <w:bCs/>
      <w:color w:val="4F81BD" w:themeColor="accent1"/>
      <w:sz w:val="26"/>
      <w:szCs w:val="26"/>
      <w14:textFill>
        <w14:solidFill>
          <w14:schemeClr w14:val="accent1"/>
        </w14:solidFill>
      </w14:textFill>
    </w:rPr>
  </w:style>
  <w:style w:type="character" w:customStyle="1" w:styleId="140">
    <w:name w:val="Heading 3 Char"/>
    <w:basedOn w:val="132"/>
    <w:link w:val="5"/>
    <w:qFormat/>
    <w:uiPriority w:val="9"/>
    <w:rPr>
      <w:rFonts w:asciiTheme="majorHAnsi" w:hAnsiTheme="majorHAnsi" w:eastAsiaTheme="majorEastAsia" w:cstheme="majorBidi"/>
      <w:b/>
      <w:bCs/>
      <w:color w:val="4F81BD" w:themeColor="accent1"/>
      <w14:textFill>
        <w14:solidFill>
          <w14:schemeClr w14:val="accent1"/>
        </w14:solidFill>
      </w14:textFill>
    </w:rPr>
  </w:style>
  <w:style w:type="character" w:customStyle="1" w:styleId="141">
    <w:name w:val="Title Char"/>
    <w:basedOn w:val="132"/>
    <w:link w:val="31"/>
    <w:uiPriority w:val="10"/>
    <w:rPr>
      <w:rFonts w:asciiTheme="majorHAnsi" w:hAnsiTheme="majorHAnsi" w:eastAsiaTheme="majorEastAsia" w:cstheme="majorBidi"/>
      <w:color w:val="17375E" w:themeColor="text2" w:themeShade="BF"/>
      <w:spacing w:val="5"/>
      <w:kern w:val="28"/>
      <w:sz w:val="52"/>
      <w:szCs w:val="52"/>
    </w:rPr>
  </w:style>
  <w:style w:type="character" w:customStyle="1" w:styleId="142">
    <w:name w:val="Subtitle Char"/>
    <w:basedOn w:val="132"/>
    <w:link w:val="26"/>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143">
    <w:name w:val="List Paragraph"/>
    <w:basedOn w:val="1"/>
    <w:qFormat/>
    <w:uiPriority w:val="34"/>
    <w:pPr>
      <w:ind w:left="720"/>
      <w:contextualSpacing/>
    </w:pPr>
  </w:style>
  <w:style w:type="character" w:customStyle="1" w:styleId="144">
    <w:name w:val="Body Text Char"/>
    <w:basedOn w:val="132"/>
    <w:link w:val="19"/>
    <w:uiPriority w:val="99"/>
  </w:style>
  <w:style w:type="character" w:customStyle="1" w:styleId="145">
    <w:name w:val="Body Text 2 Char"/>
    <w:basedOn w:val="132"/>
    <w:link w:val="28"/>
    <w:uiPriority w:val="99"/>
  </w:style>
  <w:style w:type="character" w:customStyle="1" w:styleId="146">
    <w:name w:val="Body Text 3 Char"/>
    <w:basedOn w:val="132"/>
    <w:link w:val="17"/>
    <w:uiPriority w:val="99"/>
    <w:rPr>
      <w:sz w:val="16"/>
      <w:szCs w:val="16"/>
    </w:rPr>
  </w:style>
  <w:style w:type="character" w:customStyle="1" w:styleId="147">
    <w:name w:val="Macro Text Char"/>
    <w:basedOn w:val="132"/>
    <w:link w:val="2"/>
    <w:uiPriority w:val="99"/>
    <w:rPr>
      <w:rFonts w:ascii="Courier" w:hAnsi="Courier"/>
      <w:sz w:val="20"/>
      <w:szCs w:val="20"/>
    </w:rPr>
  </w:style>
  <w:style w:type="paragraph" w:styleId="148">
    <w:name w:val="Quote"/>
    <w:basedOn w:val="1"/>
    <w:next w:val="1"/>
    <w:link w:val="149"/>
    <w:qFormat/>
    <w:uiPriority w:val="29"/>
    <w:rPr>
      <w:i/>
      <w:iCs/>
      <w:color w:val="000000" w:themeColor="text1"/>
      <w14:textFill>
        <w14:solidFill>
          <w14:schemeClr w14:val="tx1"/>
        </w14:solidFill>
      </w14:textFill>
    </w:rPr>
  </w:style>
  <w:style w:type="character" w:customStyle="1" w:styleId="149">
    <w:name w:val="Quote Char"/>
    <w:basedOn w:val="132"/>
    <w:link w:val="148"/>
    <w:uiPriority w:val="29"/>
    <w:rPr>
      <w:i/>
      <w:iCs/>
      <w:color w:val="000000" w:themeColor="text1"/>
      <w14:textFill>
        <w14:solidFill>
          <w14:schemeClr w14:val="tx1"/>
        </w14:solidFill>
      </w14:textFill>
    </w:rPr>
  </w:style>
  <w:style w:type="character" w:customStyle="1" w:styleId="150">
    <w:name w:val="Heading 4 Char"/>
    <w:basedOn w:val="132"/>
    <w:link w:val="6"/>
    <w:semiHidden/>
    <w:uiPriority w:val="9"/>
    <w:rPr>
      <w:rFonts w:asciiTheme="majorHAnsi" w:hAnsiTheme="majorHAnsi" w:eastAsiaTheme="majorEastAsia" w:cstheme="majorBidi"/>
      <w:b/>
      <w:bCs/>
      <w:i/>
      <w:iCs/>
      <w:color w:val="4F81BD" w:themeColor="accent1"/>
      <w14:textFill>
        <w14:solidFill>
          <w14:schemeClr w14:val="accent1"/>
        </w14:solidFill>
      </w14:textFill>
    </w:rPr>
  </w:style>
  <w:style w:type="character" w:customStyle="1" w:styleId="151">
    <w:name w:val="Heading 5 Char"/>
    <w:basedOn w:val="132"/>
    <w:link w:val="7"/>
    <w:semiHidden/>
    <w:uiPriority w:val="9"/>
    <w:rPr>
      <w:rFonts w:asciiTheme="majorHAnsi" w:hAnsiTheme="majorHAnsi" w:eastAsiaTheme="majorEastAsia" w:cstheme="majorBidi"/>
      <w:color w:val="254061" w:themeColor="accent1" w:themeShade="80"/>
    </w:rPr>
  </w:style>
  <w:style w:type="character" w:customStyle="1" w:styleId="152">
    <w:name w:val="Heading 6 Char"/>
    <w:basedOn w:val="132"/>
    <w:link w:val="8"/>
    <w:semiHidden/>
    <w:qFormat/>
    <w:uiPriority w:val="9"/>
    <w:rPr>
      <w:rFonts w:asciiTheme="majorHAnsi" w:hAnsiTheme="majorHAnsi" w:eastAsiaTheme="majorEastAsia" w:cstheme="majorBidi"/>
      <w:i/>
      <w:iCs/>
      <w:color w:val="254061" w:themeColor="accent1" w:themeShade="80"/>
    </w:rPr>
  </w:style>
  <w:style w:type="character" w:customStyle="1" w:styleId="153">
    <w:name w:val="Heading 7 Char"/>
    <w:basedOn w:val="132"/>
    <w:link w:val="9"/>
    <w:semiHidden/>
    <w:uiPriority w:val="9"/>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character" w:customStyle="1" w:styleId="154">
    <w:name w:val="Heading 8 Char"/>
    <w:basedOn w:val="132"/>
    <w:link w:val="10"/>
    <w:semiHidden/>
    <w:qFormat/>
    <w:uiPriority w:val="9"/>
    <w:rPr>
      <w:rFonts w:asciiTheme="majorHAnsi" w:hAnsiTheme="majorHAnsi" w:eastAsiaTheme="majorEastAsia" w:cstheme="majorBidi"/>
      <w:color w:val="4F81BD" w:themeColor="accent1"/>
      <w:sz w:val="20"/>
      <w:szCs w:val="20"/>
      <w14:textFill>
        <w14:solidFill>
          <w14:schemeClr w14:val="accent1"/>
        </w14:solidFill>
      </w14:textFill>
    </w:rPr>
  </w:style>
  <w:style w:type="character" w:customStyle="1" w:styleId="155">
    <w:name w:val="Heading 9 Char"/>
    <w:basedOn w:val="132"/>
    <w:link w:val="11"/>
    <w:semiHidden/>
    <w:uiPriority w:val="9"/>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paragraph" w:styleId="156">
    <w:name w:val="Intense Quote"/>
    <w:basedOn w:val="1"/>
    <w:next w:val="1"/>
    <w:link w:val="157"/>
    <w:qFormat/>
    <w:uiPriority w:val="30"/>
    <w:pPr>
      <w:pBdr>
        <w:bottom w:val="single" w:color="4F81BD" w:themeColor="accent1" w:sz="4" w:space="4"/>
      </w:pBdr>
      <w:spacing w:before="200" w:after="280"/>
      <w:ind w:left="936" w:right="936"/>
    </w:pPr>
    <w:rPr>
      <w:b/>
      <w:bCs/>
      <w:i/>
      <w:iCs/>
      <w:color w:val="4F81BD" w:themeColor="accent1"/>
      <w14:textFill>
        <w14:solidFill>
          <w14:schemeClr w14:val="accent1"/>
        </w14:solidFill>
      </w14:textFill>
    </w:rPr>
  </w:style>
  <w:style w:type="character" w:customStyle="1" w:styleId="157">
    <w:name w:val="Intense Quote Char"/>
    <w:basedOn w:val="132"/>
    <w:link w:val="156"/>
    <w:uiPriority w:val="30"/>
    <w:rPr>
      <w:b/>
      <w:bCs/>
      <w:i/>
      <w:iCs/>
      <w:color w:val="4F81BD" w:themeColor="accent1"/>
      <w14:textFill>
        <w14:solidFill>
          <w14:schemeClr w14:val="accent1"/>
        </w14:solidFill>
      </w14:textFill>
    </w:rPr>
  </w:style>
  <w:style w:type="character" w:customStyle="1" w:styleId="158">
    <w:name w:val="Subtle Emphasis"/>
    <w:basedOn w:val="132"/>
    <w:qFormat/>
    <w:uiPriority w:val="19"/>
    <w:rPr>
      <w:i/>
      <w:iCs/>
      <w:color w:val="808080" w:themeColor="text1" w:themeTint="80"/>
      <w14:textFill>
        <w14:solidFill>
          <w14:schemeClr w14:val="tx1">
            <w14:lumMod w14:val="50000"/>
            <w14:lumOff w14:val="50000"/>
          </w14:schemeClr>
        </w14:solidFill>
      </w14:textFill>
    </w:rPr>
  </w:style>
  <w:style w:type="character" w:customStyle="1" w:styleId="159">
    <w:name w:val="Intense Emphasis"/>
    <w:basedOn w:val="132"/>
    <w:qFormat/>
    <w:uiPriority w:val="21"/>
    <w:rPr>
      <w:b/>
      <w:bCs/>
      <w:i/>
      <w:iCs/>
      <w:color w:val="4F81BD" w:themeColor="accent1"/>
      <w14:textFill>
        <w14:solidFill>
          <w14:schemeClr w14:val="accent1"/>
        </w14:solidFill>
      </w14:textFill>
    </w:rPr>
  </w:style>
  <w:style w:type="character" w:customStyle="1" w:styleId="160">
    <w:name w:val="Subtle Reference"/>
    <w:basedOn w:val="132"/>
    <w:qFormat/>
    <w:uiPriority w:val="31"/>
    <w:rPr>
      <w:smallCaps/>
      <w:color w:val="C0504D" w:themeColor="accent2"/>
      <w:u w:val="single"/>
      <w14:textFill>
        <w14:solidFill>
          <w14:schemeClr w14:val="accent2"/>
        </w14:solidFill>
      </w14:textFill>
    </w:rPr>
  </w:style>
  <w:style w:type="character" w:customStyle="1" w:styleId="161">
    <w:name w:val="Intense Reference"/>
    <w:basedOn w:val="132"/>
    <w:qFormat/>
    <w:uiPriority w:val="32"/>
    <w:rPr>
      <w:b/>
      <w:bCs/>
      <w:smallCaps/>
      <w:color w:val="C0504D" w:themeColor="accent2"/>
      <w:spacing w:val="5"/>
      <w:u w:val="single"/>
      <w14:textFill>
        <w14:solidFill>
          <w14:schemeClr w14:val="accent2"/>
        </w14:solidFill>
      </w14:textFill>
    </w:rPr>
  </w:style>
  <w:style w:type="character" w:customStyle="1" w:styleId="162">
    <w:name w:val="Book Title"/>
    <w:basedOn w:val="132"/>
    <w:qFormat/>
    <w:uiPriority w:val="33"/>
    <w:rPr>
      <w:b/>
      <w:bCs/>
      <w:smallCaps/>
      <w:spacing w:val="5"/>
    </w:rPr>
  </w:style>
  <w:style w:type="paragraph" w:customStyle="1" w:styleId="163">
    <w:name w:val="TOC Heading"/>
    <w:basedOn w:val="3"/>
    <w:next w:val="1"/>
    <w:semiHidden/>
    <w:unhideWhenUsed/>
    <w:qFormat/>
    <w:uiPriority w:val="39"/>
    <w:pPr>
      <w:outlineLvl w:val="9"/>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datastoreItem>
</file>

<file path=docProps/app.xml><?xml version="1.0" encoding="utf-8"?>
<Properties xmlns="http://schemas.openxmlformats.org/officeDocument/2006/extended-properties" xmlns:vt="http://schemas.openxmlformats.org/officeDocument/2006/docPropsVTypes">
  <Template>Normal.dotm</Template>
  <Pages>6</Pages>
  <Words>1459</Words>
  <Characters>1647</Characters>
  <Lines>0</Lines>
  <Paragraphs>0</Paragraphs>
  <TotalTime>6</TotalTime>
  <ScaleCrop>false</ScaleCrop>
  <LinksUpToDate>false</LinksUpToDate>
  <CharactersWithSpaces>1653</CharactersWithSpaces>
  <Application>WPS Office_12.1.0.26391_F1E327BC-269C-435d-A152-05C5408002CA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python-docx</dc:creator>
  <dc:description>generated by python-docx</dc:description>
  <cp:lastModifiedBy>Ivonne</cp:lastModifiedBy>
  <dcterms:modified xsi:type="dcterms:W3CDTF">2026-06-30T05:45:36Z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eyJoZGlkIjoiMTkxMDU1YjhkYmY2NjU1ZTYxYjQ4YzE2ZmRlMTc5YjAiLCJ1c2VySWQiOiIyMDExNzcwMzcifQ==</vt:lpwstr>
  </property>
  <property fmtid="{D5CDD505-2E9C-101B-9397-08002B2CF9AE}" pid="3" name="KSOProductBuildVer">
    <vt:lpwstr>2052-12.1.0.26391</vt:lpwstr>
  </property>
  <property fmtid="{D5CDD505-2E9C-101B-9397-08002B2CF9AE}" pid="4" name="ICV">
    <vt:lpwstr>7BBA22CAE69D40FC9F008AE1942D9BEA_13</vt:lpwstr>
  </property>
</Properties>
</file>